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FC" w:rsidRDefault="00464D52" w:rsidP="008C1BFC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2581275" cy="1490115"/>
            <wp:effectExtent l="0" t="0" r="0" b="0"/>
            <wp:docPr id="1" name="Image 1" descr="http://www.intranet.ars.sante.fr/fileadmin/private/OceanIndien/Notre_ARS/ARS-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private/OceanIndien/Notre_ARS/ARS-OI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28" cy="149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Pr="007A6F17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E62F3" w:rsidRPr="007A6F17" w:rsidRDefault="008C1BFC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7A6F17">
        <w:rPr>
          <w:b/>
          <w:bCs/>
          <w:sz w:val="36"/>
          <w:szCs w:val="36"/>
          <w:u w:val="single"/>
        </w:rPr>
        <w:t>Annexe 1</w:t>
      </w:r>
      <w:r w:rsidRPr="007A6F17">
        <w:rPr>
          <w:b/>
          <w:bCs/>
          <w:sz w:val="36"/>
          <w:szCs w:val="36"/>
        </w:rPr>
        <w:t xml:space="preserve"> : </w:t>
      </w:r>
    </w:p>
    <w:p w:rsidR="008C1BFC" w:rsidRPr="007A6F17" w:rsidRDefault="008C1BFC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sz w:val="36"/>
          <w:szCs w:val="36"/>
        </w:rPr>
      </w:pPr>
      <w:r w:rsidRPr="007A6F17">
        <w:rPr>
          <w:b/>
          <w:bCs/>
          <w:sz w:val="36"/>
          <w:szCs w:val="36"/>
        </w:rPr>
        <w:t>Cahier des charges</w:t>
      </w:r>
    </w:p>
    <w:p w:rsidR="00C7465C" w:rsidRPr="007A6F17" w:rsidRDefault="00C7465C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E62F3" w:rsidRPr="007A6F17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E62F3" w:rsidRPr="007A6F17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5E1CA5" w:rsidRDefault="008C1BFC" w:rsidP="005E1CA5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7A6F17">
        <w:rPr>
          <w:b/>
          <w:bCs/>
          <w:sz w:val="36"/>
          <w:szCs w:val="36"/>
        </w:rPr>
        <w:t xml:space="preserve">Appel à </w:t>
      </w:r>
      <w:r w:rsidR="00B7474E" w:rsidRPr="007A6F17">
        <w:rPr>
          <w:b/>
          <w:bCs/>
          <w:sz w:val="36"/>
          <w:szCs w:val="36"/>
        </w:rPr>
        <w:t>candidature</w:t>
      </w:r>
      <w:r w:rsidR="00BE3C89">
        <w:rPr>
          <w:b/>
          <w:bCs/>
          <w:sz w:val="36"/>
          <w:szCs w:val="36"/>
        </w:rPr>
        <w:t>s</w:t>
      </w:r>
      <w:r w:rsidRPr="007A6F17">
        <w:rPr>
          <w:b/>
          <w:bCs/>
          <w:sz w:val="36"/>
          <w:szCs w:val="36"/>
        </w:rPr>
        <w:t xml:space="preserve"> </w:t>
      </w:r>
    </w:p>
    <w:p w:rsidR="005E1CA5" w:rsidRDefault="005E1CA5" w:rsidP="005E1CA5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</w:p>
    <w:p w:rsidR="008C1BFC" w:rsidRDefault="008C6573" w:rsidP="007165EA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6"/>
          <w:szCs w:val="36"/>
        </w:rPr>
        <w:t>p</w:t>
      </w:r>
      <w:r w:rsidR="007165EA" w:rsidRPr="007165EA">
        <w:rPr>
          <w:b/>
          <w:bCs/>
          <w:sz w:val="36"/>
          <w:szCs w:val="36"/>
        </w:rPr>
        <w:t>our</w:t>
      </w:r>
      <w:proofErr w:type="gramEnd"/>
      <w:r w:rsidR="007165EA" w:rsidRPr="007165EA">
        <w:rPr>
          <w:b/>
          <w:bCs/>
          <w:sz w:val="36"/>
          <w:szCs w:val="36"/>
        </w:rPr>
        <w:t xml:space="preserve"> la mise en </w:t>
      </w:r>
      <w:r w:rsidR="007165EA">
        <w:rPr>
          <w:b/>
          <w:bCs/>
          <w:sz w:val="36"/>
          <w:szCs w:val="36"/>
        </w:rPr>
        <w:t xml:space="preserve">œuvre </w:t>
      </w:r>
      <w:r w:rsidR="007165EA" w:rsidRPr="007165EA">
        <w:rPr>
          <w:b/>
          <w:bCs/>
          <w:sz w:val="36"/>
          <w:szCs w:val="36"/>
        </w:rPr>
        <w:t>d’une Unit</w:t>
      </w:r>
      <w:r w:rsidR="007165EA">
        <w:rPr>
          <w:b/>
          <w:bCs/>
          <w:sz w:val="36"/>
          <w:szCs w:val="36"/>
        </w:rPr>
        <w:t>é d’Hébergement Renforcée (UHR)</w:t>
      </w:r>
      <w:r>
        <w:rPr>
          <w:b/>
          <w:bCs/>
          <w:sz w:val="36"/>
          <w:szCs w:val="36"/>
        </w:rPr>
        <w:t xml:space="preserve"> en EHPAD</w:t>
      </w:r>
      <w:r w:rsidR="005E1CA5">
        <w:rPr>
          <w:b/>
          <w:bCs/>
          <w:sz w:val="36"/>
          <w:szCs w:val="36"/>
        </w:rPr>
        <w:br/>
      </w:r>
      <w:r w:rsidR="005E1CA5">
        <w:rPr>
          <w:b/>
          <w:bCs/>
          <w:sz w:val="36"/>
          <w:szCs w:val="36"/>
        </w:rPr>
        <w:br/>
      </w:r>
      <w:r w:rsidR="004A1DE8">
        <w:rPr>
          <w:b/>
          <w:bCs/>
          <w:sz w:val="36"/>
          <w:szCs w:val="36"/>
        </w:rPr>
        <w:t>sur le territoire Sud</w:t>
      </w:r>
      <w:r w:rsidR="008C1BFC" w:rsidRPr="007A6F17">
        <w:rPr>
          <w:b/>
          <w:bCs/>
          <w:sz w:val="36"/>
          <w:szCs w:val="36"/>
        </w:rPr>
        <w:t xml:space="preserve"> de </w:t>
      </w:r>
      <w:r w:rsidR="00B7474E" w:rsidRPr="007A6F17">
        <w:rPr>
          <w:b/>
          <w:bCs/>
          <w:sz w:val="36"/>
          <w:szCs w:val="36"/>
        </w:rPr>
        <w:t>la Réunion</w:t>
      </w:r>
    </w:p>
    <w:p w:rsidR="008E62F3" w:rsidRDefault="008E62F3" w:rsidP="007A6F17">
      <w:pPr>
        <w:pStyle w:val="Default"/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7A6F17" w:rsidRDefault="007A6F17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p w:rsidR="008E62F3" w:rsidRPr="004E6A22" w:rsidRDefault="008E62F3" w:rsidP="00C7465C">
      <w:pPr>
        <w:pStyle w:val="Default"/>
        <w:jc w:val="center"/>
        <w:rPr>
          <w:b/>
          <w:bCs/>
          <w:strike/>
          <w:sz w:val="32"/>
          <w:szCs w:val="32"/>
        </w:rPr>
      </w:pPr>
    </w:p>
    <w:p w:rsidR="008E62F3" w:rsidRDefault="008E62F3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E62F3" w:rsidRPr="00C7465C" w:rsidRDefault="008E62F3" w:rsidP="00C7465C">
      <w:pPr>
        <w:pStyle w:val="Default"/>
        <w:jc w:val="center"/>
        <w:rPr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71298240"/>
        <w:docPartObj>
          <w:docPartGallery w:val="Table of Contents"/>
          <w:docPartUnique/>
        </w:docPartObj>
      </w:sdtPr>
      <w:sdtEndPr/>
      <w:sdtContent>
        <w:p w:rsidR="00BC7DB5" w:rsidRDefault="00BC7DB5" w:rsidP="006E1228">
          <w:pPr>
            <w:pStyle w:val="En-ttedetabledesmatires"/>
          </w:pPr>
          <w:r>
            <w:t>Table des matières</w:t>
          </w:r>
        </w:p>
        <w:p w:rsidR="008219B0" w:rsidRDefault="008219B0" w:rsidP="008219B0">
          <w:pPr>
            <w:rPr>
              <w:lang w:eastAsia="fr-FR"/>
            </w:rPr>
          </w:pPr>
        </w:p>
        <w:p w:rsidR="008219B0" w:rsidRPr="008219B0" w:rsidRDefault="008219B0" w:rsidP="008219B0">
          <w:pPr>
            <w:rPr>
              <w:lang w:eastAsia="fr-FR"/>
            </w:rPr>
          </w:pPr>
        </w:p>
        <w:p w:rsidR="002C429F" w:rsidRDefault="00BC7DB5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763558" w:history="1">
            <w:r w:rsidR="002C429F" w:rsidRPr="001409B7">
              <w:rPr>
                <w:rStyle w:val="Lienhypertexte"/>
                <w:noProof/>
              </w:rPr>
              <w:t>1.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Objet de l’appel à candidatures et nature de l’intervention envisagée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_Toc474763558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3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59" w:history="1">
            <w:r w:rsidR="002C429F" w:rsidRPr="001409B7">
              <w:rPr>
                <w:rStyle w:val="Lienhypertexte"/>
                <w:noProof/>
              </w:rPr>
              <w:t>1.1.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Les éléments de contexte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_Toc474763559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3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60" w:history="1">
            <w:r w:rsidR="002C429F" w:rsidRPr="001409B7">
              <w:rPr>
                <w:rStyle w:val="Lienhypertexte"/>
                <w:noProof/>
              </w:rPr>
              <w:t>1.2.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Le cadre juridique l’appel à candidatures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_Toc474763560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3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61" w:history="1">
            <w:r w:rsidR="002C429F" w:rsidRPr="001409B7">
              <w:rPr>
                <w:rStyle w:val="Lienhypertexte"/>
                <w:noProof/>
              </w:rPr>
              <w:t>1.3.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Les caractéristiques du projet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_Toc474763561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4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74763562" w:history="1">
            <w:r w:rsidR="002C429F" w:rsidRPr="001409B7">
              <w:rPr>
                <w:rStyle w:val="Lienhypertexte"/>
                <w:noProof/>
              </w:rPr>
              <w:t>1.3.1.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Structures porteuses éligibles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_Toc474763562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4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74763563" w:history="1">
            <w:r w:rsidR="002C429F" w:rsidRPr="001409B7">
              <w:rPr>
                <w:rStyle w:val="Lienhypertexte"/>
                <w:noProof/>
              </w:rPr>
              <w:t>1.3.2.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Territoire d’implantation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_Toc474763563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4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74763564" w:history="1">
            <w:r w:rsidR="002C429F" w:rsidRPr="001409B7">
              <w:rPr>
                <w:rStyle w:val="Lienhypertexte"/>
                <w:noProof/>
              </w:rPr>
              <w:t>1.3.3.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Modalités de fonctionnement et d’organisation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_Toc474763564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5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3"/>
            <w:rPr>
              <w:rFonts w:eastAsiaTheme="minorEastAsia"/>
              <w:noProof/>
              <w:lang w:eastAsia="fr-FR"/>
            </w:rPr>
          </w:pPr>
          <w:hyperlink w:anchor="_Toc474763565" w:history="1">
            <w:r w:rsidR="002C429F" w:rsidRPr="001409B7">
              <w:rPr>
                <w:rStyle w:val="Lienhypertexte"/>
                <w:noProof/>
              </w:rPr>
              <w:t>1.3.4.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Modalités de financement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_Toc474763565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5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66" w:history="1">
            <w:r w:rsidR="002C429F" w:rsidRPr="001409B7">
              <w:rPr>
                <w:rStyle w:val="Lienhypertexte"/>
                <w:noProof/>
              </w:rPr>
              <w:t>2.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Critères de sélection et d’évaluation des projets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_Toc474763566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5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67" w:history="1">
            <w:r w:rsidR="002C429F" w:rsidRPr="001409B7">
              <w:rPr>
                <w:rStyle w:val="Lienhypertexte"/>
                <w:noProof/>
              </w:rPr>
              <w:t>2.1.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Critères de sélection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_Toc474763567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5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68" w:history="1">
            <w:r w:rsidR="002C429F" w:rsidRPr="001409B7">
              <w:rPr>
                <w:rStyle w:val="Lienhypertexte"/>
                <w:noProof/>
              </w:rPr>
              <w:t>2.2.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Modalités d’évaluation des projets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_Toc474763568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5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69" w:history="1">
            <w:r w:rsidR="002C429F" w:rsidRPr="001409B7">
              <w:rPr>
                <w:rStyle w:val="Lienhypertexte"/>
                <w:noProof/>
              </w:rPr>
              <w:t>3.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Calendrier de mise en œuvre et dossier de candidature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_Toc474763569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6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70" w:history="1">
            <w:r w:rsidR="002C429F" w:rsidRPr="001409B7">
              <w:rPr>
                <w:rStyle w:val="Lienhypertexte"/>
                <w:noProof/>
              </w:rPr>
              <w:t>3.1.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Calendrier de déploiement de l’UHR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_Toc474763570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6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71" w:history="1">
            <w:r w:rsidR="002C429F" w:rsidRPr="001409B7">
              <w:rPr>
                <w:rStyle w:val="Lienhypertexte"/>
                <w:noProof/>
              </w:rPr>
              <w:t>3.2.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Délai et modalités de dépôt des dossiers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_Toc474763571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6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2C429F" w:rsidRDefault="00CA5726">
          <w:pPr>
            <w:pStyle w:val="TM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74763572" w:history="1">
            <w:r w:rsidR="002C429F" w:rsidRPr="001409B7">
              <w:rPr>
                <w:rStyle w:val="Lienhypertexte"/>
                <w:noProof/>
              </w:rPr>
              <w:t>3.3.</w:t>
            </w:r>
            <w:r w:rsidR="002C429F">
              <w:rPr>
                <w:rFonts w:eastAsiaTheme="minorEastAsia"/>
                <w:noProof/>
                <w:lang w:eastAsia="fr-FR"/>
              </w:rPr>
              <w:tab/>
            </w:r>
            <w:r w:rsidR="002C429F" w:rsidRPr="001409B7">
              <w:rPr>
                <w:rStyle w:val="Lienhypertexte"/>
                <w:noProof/>
              </w:rPr>
              <w:t>Contenu du dossier de candidature</w:t>
            </w:r>
            <w:r w:rsidR="002C429F">
              <w:rPr>
                <w:noProof/>
                <w:webHidden/>
              </w:rPr>
              <w:tab/>
            </w:r>
            <w:r w:rsidR="002C429F">
              <w:rPr>
                <w:noProof/>
                <w:webHidden/>
              </w:rPr>
              <w:fldChar w:fldCharType="begin"/>
            </w:r>
            <w:r w:rsidR="002C429F">
              <w:rPr>
                <w:noProof/>
                <w:webHidden/>
              </w:rPr>
              <w:instrText xml:space="preserve"> PAGEREF _Toc474763572 \h </w:instrText>
            </w:r>
            <w:r w:rsidR="002C429F">
              <w:rPr>
                <w:noProof/>
                <w:webHidden/>
              </w:rPr>
            </w:r>
            <w:r w:rsidR="002C429F">
              <w:rPr>
                <w:noProof/>
                <w:webHidden/>
              </w:rPr>
              <w:fldChar w:fldCharType="separate"/>
            </w:r>
            <w:r w:rsidR="00B7597E">
              <w:rPr>
                <w:noProof/>
                <w:webHidden/>
              </w:rPr>
              <w:t>6</w:t>
            </w:r>
            <w:r w:rsidR="002C429F">
              <w:rPr>
                <w:noProof/>
                <w:webHidden/>
              </w:rPr>
              <w:fldChar w:fldCharType="end"/>
            </w:r>
          </w:hyperlink>
        </w:p>
        <w:p w:rsidR="00BC7DB5" w:rsidRPr="008D374F" w:rsidRDefault="00BC7DB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BC7DB5" w:rsidRDefault="00BC7DB5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:rsidR="008C1BFC" w:rsidRDefault="007A6F17" w:rsidP="006E1228">
      <w:pPr>
        <w:pStyle w:val="Titre1"/>
      </w:pPr>
      <w:bookmarkStart w:id="0" w:name="_Toc474763558"/>
      <w:r>
        <w:lastRenderedPageBreak/>
        <w:t>1.</w:t>
      </w:r>
      <w:r w:rsidR="006E1228">
        <w:tab/>
        <w:t>Objet de l’appel à candidatures et nature de l’intervention envisagée</w:t>
      </w:r>
      <w:bookmarkEnd w:id="0"/>
    </w:p>
    <w:p w:rsidR="008C1BFC" w:rsidRPr="007A6F17" w:rsidRDefault="006E1228" w:rsidP="006E1228">
      <w:pPr>
        <w:pStyle w:val="Titre2"/>
      </w:pPr>
      <w:bookmarkStart w:id="1" w:name="_Toc474763559"/>
      <w:r>
        <w:t>1.1.</w:t>
      </w:r>
      <w:r>
        <w:tab/>
      </w:r>
      <w:r w:rsidR="008C1BFC" w:rsidRPr="007A6F17">
        <w:t>Les éléments de contexte</w:t>
      </w:r>
      <w:bookmarkEnd w:id="1"/>
      <w:r w:rsidR="008C1BFC" w:rsidRPr="007A6F17">
        <w:t xml:space="preserve"> </w:t>
      </w:r>
    </w:p>
    <w:p w:rsidR="0033189C" w:rsidRDefault="0033189C" w:rsidP="0033189C">
      <w:pPr>
        <w:pStyle w:val="Default"/>
        <w:jc w:val="both"/>
        <w:rPr>
          <w:sz w:val="22"/>
          <w:szCs w:val="22"/>
        </w:rPr>
      </w:pPr>
      <w:r w:rsidRPr="0033189C">
        <w:rPr>
          <w:sz w:val="22"/>
          <w:szCs w:val="22"/>
        </w:rPr>
        <w:t xml:space="preserve">En France, l’augmentation de l’espérance de vie se poursuit et </w:t>
      </w:r>
      <w:r>
        <w:rPr>
          <w:sz w:val="22"/>
          <w:szCs w:val="22"/>
        </w:rPr>
        <w:t>celle</w:t>
      </w:r>
      <w:r w:rsidRPr="0033189C">
        <w:rPr>
          <w:sz w:val="22"/>
          <w:szCs w:val="22"/>
        </w:rPr>
        <w:t xml:space="preserve"> à partir de</w:t>
      </w:r>
      <w:r>
        <w:rPr>
          <w:sz w:val="22"/>
          <w:szCs w:val="22"/>
        </w:rPr>
        <w:t xml:space="preserve"> </w:t>
      </w:r>
      <w:r w:rsidRPr="0033189C">
        <w:rPr>
          <w:sz w:val="22"/>
          <w:szCs w:val="22"/>
        </w:rPr>
        <w:t xml:space="preserve">60 ans plus rapidement encore. </w:t>
      </w:r>
      <w:r w:rsidR="00F66939">
        <w:rPr>
          <w:sz w:val="22"/>
          <w:szCs w:val="22"/>
        </w:rPr>
        <w:t>L</w:t>
      </w:r>
      <w:r w:rsidR="00F66939" w:rsidRPr="0033189C">
        <w:rPr>
          <w:sz w:val="22"/>
          <w:szCs w:val="22"/>
        </w:rPr>
        <w:t>a prévalence</w:t>
      </w:r>
      <w:r w:rsidR="00F66939">
        <w:rPr>
          <w:sz w:val="22"/>
          <w:szCs w:val="22"/>
        </w:rPr>
        <w:t xml:space="preserve"> des maladies </w:t>
      </w:r>
      <w:r w:rsidR="00F66939" w:rsidRPr="0033189C">
        <w:rPr>
          <w:sz w:val="22"/>
          <w:szCs w:val="22"/>
        </w:rPr>
        <w:t xml:space="preserve">neurodégénératives </w:t>
      </w:r>
      <w:r w:rsidR="00F66939">
        <w:rPr>
          <w:sz w:val="22"/>
          <w:szCs w:val="22"/>
        </w:rPr>
        <w:t>augmentant</w:t>
      </w:r>
      <w:r w:rsidR="00F66939" w:rsidRPr="0033189C">
        <w:rPr>
          <w:sz w:val="22"/>
          <w:szCs w:val="22"/>
        </w:rPr>
        <w:t xml:space="preserve"> avec </w:t>
      </w:r>
      <w:r w:rsidR="00F66939">
        <w:rPr>
          <w:sz w:val="22"/>
          <w:szCs w:val="22"/>
        </w:rPr>
        <w:t xml:space="preserve">l’âge, </w:t>
      </w:r>
      <w:r>
        <w:rPr>
          <w:sz w:val="22"/>
          <w:szCs w:val="22"/>
        </w:rPr>
        <w:t>l</w:t>
      </w:r>
      <w:r w:rsidRPr="0033189C">
        <w:rPr>
          <w:sz w:val="22"/>
          <w:szCs w:val="22"/>
        </w:rPr>
        <w:t xml:space="preserve">es personnes atteintes de </w:t>
      </w:r>
      <w:r w:rsidR="00F66939">
        <w:rPr>
          <w:sz w:val="22"/>
          <w:szCs w:val="22"/>
        </w:rPr>
        <w:t xml:space="preserve">ces </w:t>
      </w:r>
      <w:r w:rsidR="00464D52">
        <w:rPr>
          <w:sz w:val="22"/>
          <w:szCs w:val="22"/>
        </w:rPr>
        <w:t>pathologies</w:t>
      </w:r>
      <w:r>
        <w:rPr>
          <w:sz w:val="22"/>
          <w:szCs w:val="22"/>
        </w:rPr>
        <w:t xml:space="preserve"> </w:t>
      </w:r>
      <w:r w:rsidRPr="0033189C">
        <w:rPr>
          <w:sz w:val="22"/>
          <w:szCs w:val="22"/>
        </w:rPr>
        <w:t>constituent un enjeu majeur de santé publique.</w:t>
      </w:r>
      <w:r w:rsidR="00F66939" w:rsidRPr="00F66939">
        <w:rPr>
          <w:sz w:val="22"/>
          <w:szCs w:val="22"/>
        </w:rPr>
        <w:t xml:space="preserve"> </w:t>
      </w:r>
      <w:r w:rsidR="00F66939">
        <w:rPr>
          <w:sz w:val="22"/>
          <w:szCs w:val="22"/>
        </w:rPr>
        <w:t>Le</w:t>
      </w:r>
      <w:r w:rsidR="00F66939" w:rsidRPr="0033189C">
        <w:rPr>
          <w:sz w:val="22"/>
          <w:szCs w:val="22"/>
        </w:rPr>
        <w:t xml:space="preserve"> Plan maladies neurodégénératives (PMND)</w:t>
      </w:r>
      <w:r w:rsidR="00F66939">
        <w:rPr>
          <w:sz w:val="22"/>
          <w:szCs w:val="22"/>
        </w:rPr>
        <w:t xml:space="preserve"> </w:t>
      </w:r>
      <w:r w:rsidR="00F66939" w:rsidRPr="0033189C">
        <w:rPr>
          <w:sz w:val="22"/>
          <w:szCs w:val="22"/>
        </w:rPr>
        <w:t>2014</w:t>
      </w:r>
      <w:r w:rsidR="00F66939" w:rsidRPr="0033189C">
        <w:rPr>
          <w:rFonts w:ascii="Cambria Math" w:hAnsi="Cambria Math" w:cs="Cambria Math"/>
          <w:sz w:val="22"/>
          <w:szCs w:val="22"/>
        </w:rPr>
        <w:t>‐</w:t>
      </w:r>
      <w:r w:rsidR="00F66939" w:rsidRPr="0033189C">
        <w:rPr>
          <w:sz w:val="22"/>
          <w:szCs w:val="22"/>
        </w:rPr>
        <w:t>2019</w:t>
      </w:r>
      <w:r w:rsidR="00F66939">
        <w:rPr>
          <w:sz w:val="22"/>
          <w:szCs w:val="22"/>
        </w:rPr>
        <w:t xml:space="preserve">, qui s’inscrit </w:t>
      </w:r>
      <w:r w:rsidR="00F66939" w:rsidRPr="0033189C">
        <w:rPr>
          <w:sz w:val="22"/>
          <w:szCs w:val="22"/>
        </w:rPr>
        <w:t>dans la continuité du Plan Alzheimer 2008</w:t>
      </w:r>
      <w:r w:rsidR="00F66939" w:rsidRPr="0033189C">
        <w:rPr>
          <w:rFonts w:ascii="Cambria Math" w:hAnsi="Cambria Math" w:cs="Cambria Math"/>
          <w:sz w:val="22"/>
          <w:szCs w:val="22"/>
        </w:rPr>
        <w:t>‐</w:t>
      </w:r>
      <w:r w:rsidR="00F66939" w:rsidRPr="0033189C">
        <w:rPr>
          <w:sz w:val="22"/>
          <w:szCs w:val="22"/>
        </w:rPr>
        <w:t>2012</w:t>
      </w:r>
      <w:r w:rsidR="00F66939">
        <w:rPr>
          <w:sz w:val="22"/>
          <w:szCs w:val="22"/>
        </w:rPr>
        <w:t>, a mis en place des dispositifs pour accompagner cette transition démographique. S’adressant aux</w:t>
      </w:r>
      <w:r w:rsidR="003D3EB0">
        <w:rPr>
          <w:sz w:val="22"/>
          <w:szCs w:val="22"/>
        </w:rPr>
        <w:t xml:space="preserve"> personnes atteintes de la maladie d’Alzheimer </w:t>
      </w:r>
      <w:r w:rsidR="00314BF1">
        <w:rPr>
          <w:sz w:val="22"/>
          <w:szCs w:val="22"/>
        </w:rPr>
        <w:t>ou</w:t>
      </w:r>
      <w:r w:rsidRPr="0033189C">
        <w:rPr>
          <w:sz w:val="22"/>
          <w:szCs w:val="22"/>
        </w:rPr>
        <w:t xml:space="preserve"> </w:t>
      </w:r>
      <w:r w:rsidR="00C673C9">
        <w:rPr>
          <w:sz w:val="22"/>
          <w:szCs w:val="22"/>
        </w:rPr>
        <w:t xml:space="preserve">ayant </w:t>
      </w:r>
      <w:r w:rsidRPr="0033189C">
        <w:rPr>
          <w:sz w:val="22"/>
          <w:szCs w:val="22"/>
        </w:rPr>
        <w:t xml:space="preserve">la maladie de Parkinson </w:t>
      </w:r>
      <w:r w:rsidR="003D3EB0">
        <w:rPr>
          <w:sz w:val="22"/>
          <w:szCs w:val="22"/>
        </w:rPr>
        <w:t>ou encore</w:t>
      </w:r>
      <w:r w:rsidRPr="0033189C">
        <w:rPr>
          <w:sz w:val="22"/>
          <w:szCs w:val="22"/>
        </w:rPr>
        <w:t xml:space="preserve"> </w:t>
      </w:r>
      <w:r w:rsidR="00C673C9">
        <w:rPr>
          <w:sz w:val="22"/>
          <w:szCs w:val="22"/>
        </w:rPr>
        <w:t>une</w:t>
      </w:r>
      <w:r w:rsidR="00F66939">
        <w:rPr>
          <w:sz w:val="22"/>
          <w:szCs w:val="22"/>
        </w:rPr>
        <w:t xml:space="preserve"> sclérose en plaques (SEP),</w:t>
      </w:r>
      <w:r w:rsidR="00C673C9">
        <w:rPr>
          <w:sz w:val="22"/>
          <w:szCs w:val="22"/>
        </w:rPr>
        <w:t xml:space="preserve"> </w:t>
      </w:r>
      <w:r w:rsidR="00F66939">
        <w:rPr>
          <w:sz w:val="22"/>
          <w:szCs w:val="22"/>
        </w:rPr>
        <w:t>i</w:t>
      </w:r>
      <w:r w:rsidR="00C673C9">
        <w:rPr>
          <w:sz w:val="22"/>
          <w:szCs w:val="22"/>
        </w:rPr>
        <w:t xml:space="preserve">l </w:t>
      </w:r>
      <w:r w:rsidR="00F66939">
        <w:rPr>
          <w:sz w:val="22"/>
          <w:szCs w:val="22"/>
        </w:rPr>
        <w:t>comprend</w:t>
      </w:r>
      <w:r w:rsidRPr="0033189C">
        <w:rPr>
          <w:sz w:val="22"/>
          <w:szCs w:val="22"/>
        </w:rPr>
        <w:t xml:space="preserve"> 4 axes stratégiques </w:t>
      </w:r>
      <w:r w:rsidR="00854BC6">
        <w:rPr>
          <w:sz w:val="22"/>
          <w:szCs w:val="22"/>
        </w:rPr>
        <w:t xml:space="preserve">et </w:t>
      </w:r>
      <w:r w:rsidR="001847CC">
        <w:rPr>
          <w:sz w:val="22"/>
          <w:szCs w:val="22"/>
        </w:rPr>
        <w:t>96 mesures.</w:t>
      </w:r>
    </w:p>
    <w:p w:rsidR="001847CC" w:rsidRDefault="001847CC" w:rsidP="0033189C">
      <w:pPr>
        <w:pStyle w:val="Default"/>
        <w:jc w:val="both"/>
        <w:rPr>
          <w:sz w:val="22"/>
          <w:szCs w:val="22"/>
        </w:rPr>
      </w:pPr>
    </w:p>
    <w:p w:rsidR="00E60083" w:rsidRDefault="001847CC" w:rsidP="00006F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présent appel à candidature s’inscrit dans </w:t>
      </w:r>
      <w:r w:rsidRPr="001847CC">
        <w:rPr>
          <w:sz w:val="22"/>
          <w:szCs w:val="22"/>
          <w:u w:val="single"/>
        </w:rPr>
        <w:t>l’a</w:t>
      </w:r>
      <w:r w:rsidR="0033189C" w:rsidRPr="001847CC">
        <w:rPr>
          <w:sz w:val="22"/>
          <w:szCs w:val="22"/>
          <w:u w:val="single"/>
        </w:rPr>
        <w:t>xe1</w:t>
      </w:r>
      <w:r w:rsidR="0033189C" w:rsidRPr="0033189C">
        <w:rPr>
          <w:sz w:val="22"/>
          <w:szCs w:val="22"/>
        </w:rPr>
        <w:t xml:space="preserve"> : « Soigner et accompagner tout au long de la vie et sur l’ensemble du territoire »</w:t>
      </w:r>
      <w:r w:rsidR="00006FD0">
        <w:rPr>
          <w:sz w:val="22"/>
          <w:szCs w:val="22"/>
        </w:rPr>
        <w:t xml:space="preserve"> dont l’enjeu </w:t>
      </w:r>
      <w:r w:rsidRPr="001847CC">
        <w:rPr>
          <w:sz w:val="22"/>
          <w:szCs w:val="22"/>
        </w:rPr>
        <w:t xml:space="preserve">3 </w:t>
      </w:r>
      <w:r w:rsidR="00006FD0">
        <w:rPr>
          <w:sz w:val="22"/>
          <w:szCs w:val="22"/>
        </w:rPr>
        <w:t xml:space="preserve">est de </w:t>
      </w:r>
      <w:r w:rsidRPr="001847CC">
        <w:rPr>
          <w:sz w:val="22"/>
          <w:szCs w:val="22"/>
        </w:rPr>
        <w:t>donner l’accès à des soins de qualité tout au long de la vie avec la maladie</w:t>
      </w:r>
      <w:r w:rsidR="00006FD0">
        <w:rPr>
          <w:sz w:val="22"/>
          <w:szCs w:val="22"/>
        </w:rPr>
        <w:t>, ce qui suppose d’a</w:t>
      </w:r>
      <w:r w:rsidRPr="001847CC">
        <w:rPr>
          <w:sz w:val="22"/>
          <w:szCs w:val="22"/>
        </w:rPr>
        <w:t>méliorer la réponse aux besoins d’accompagnement</w:t>
      </w:r>
      <w:r w:rsidR="00006FD0">
        <w:rPr>
          <w:sz w:val="22"/>
          <w:szCs w:val="22"/>
        </w:rPr>
        <w:t xml:space="preserve"> notamment en matière d’</w:t>
      </w:r>
      <w:r w:rsidRPr="001847CC">
        <w:rPr>
          <w:sz w:val="22"/>
          <w:szCs w:val="22"/>
        </w:rPr>
        <w:t xml:space="preserve">accompagnement et </w:t>
      </w:r>
      <w:r w:rsidR="00006FD0">
        <w:rPr>
          <w:sz w:val="22"/>
          <w:szCs w:val="22"/>
        </w:rPr>
        <w:t>de</w:t>
      </w:r>
      <w:r w:rsidRPr="001847CC">
        <w:rPr>
          <w:sz w:val="22"/>
          <w:szCs w:val="22"/>
        </w:rPr>
        <w:t xml:space="preserve"> soins adaptés en établissement médico-social</w:t>
      </w:r>
      <w:r w:rsidR="00006FD0">
        <w:rPr>
          <w:sz w:val="22"/>
          <w:szCs w:val="22"/>
        </w:rPr>
        <w:t xml:space="preserve">. La </w:t>
      </w:r>
      <w:r w:rsidR="00006FD0" w:rsidRPr="00006FD0">
        <w:rPr>
          <w:sz w:val="22"/>
          <w:szCs w:val="22"/>
          <w:u w:val="single"/>
        </w:rPr>
        <w:t>mesure 27</w:t>
      </w:r>
      <w:r w:rsidR="00006FD0">
        <w:rPr>
          <w:sz w:val="22"/>
          <w:szCs w:val="22"/>
        </w:rPr>
        <w:t xml:space="preserve"> du PMND prévoit donc </w:t>
      </w:r>
      <w:bookmarkStart w:id="2" w:name="_GoBack"/>
      <w:bookmarkEnd w:id="2"/>
      <w:r w:rsidR="00006FD0">
        <w:rPr>
          <w:sz w:val="22"/>
          <w:szCs w:val="22"/>
        </w:rPr>
        <w:t xml:space="preserve">la poursuite du </w:t>
      </w:r>
      <w:r w:rsidRPr="001847CC">
        <w:rPr>
          <w:sz w:val="22"/>
          <w:szCs w:val="22"/>
        </w:rPr>
        <w:t xml:space="preserve">déploiement </w:t>
      </w:r>
      <w:r w:rsidR="0033189C" w:rsidRPr="0033189C">
        <w:rPr>
          <w:sz w:val="22"/>
          <w:szCs w:val="22"/>
        </w:rPr>
        <w:t xml:space="preserve">des accueils en </w:t>
      </w:r>
      <w:r w:rsidR="00006FD0" w:rsidRPr="00AB0786">
        <w:rPr>
          <w:sz w:val="22"/>
          <w:szCs w:val="22"/>
        </w:rPr>
        <w:t xml:space="preserve">unités d’hébergement renforcé </w:t>
      </w:r>
      <w:r w:rsidR="00006FD0">
        <w:rPr>
          <w:sz w:val="22"/>
          <w:szCs w:val="22"/>
        </w:rPr>
        <w:t>(</w:t>
      </w:r>
      <w:r w:rsidR="0033189C" w:rsidRPr="0033189C">
        <w:rPr>
          <w:sz w:val="22"/>
          <w:szCs w:val="22"/>
        </w:rPr>
        <w:t>UHR</w:t>
      </w:r>
      <w:r w:rsidR="00006FD0">
        <w:rPr>
          <w:sz w:val="22"/>
          <w:szCs w:val="22"/>
        </w:rPr>
        <w:t>)</w:t>
      </w:r>
      <w:r w:rsidR="0033189C" w:rsidRPr="0033189C">
        <w:rPr>
          <w:sz w:val="22"/>
          <w:szCs w:val="22"/>
        </w:rPr>
        <w:t xml:space="preserve"> sur le territoire et l’inscription de cette offre au sein des filières de soins</w:t>
      </w:r>
      <w:r w:rsidR="003D3EB0">
        <w:rPr>
          <w:sz w:val="22"/>
          <w:szCs w:val="22"/>
        </w:rPr>
        <w:t xml:space="preserve"> </w:t>
      </w:r>
      <w:r w:rsidR="0033189C" w:rsidRPr="0033189C">
        <w:rPr>
          <w:sz w:val="22"/>
          <w:szCs w:val="22"/>
        </w:rPr>
        <w:t xml:space="preserve">et d’accompagnement de « droit commun ». </w:t>
      </w:r>
    </w:p>
    <w:p w:rsidR="00AB0786" w:rsidRDefault="00AB0786" w:rsidP="00D95772">
      <w:pPr>
        <w:pStyle w:val="Default"/>
        <w:jc w:val="both"/>
        <w:rPr>
          <w:sz w:val="22"/>
          <w:szCs w:val="22"/>
        </w:rPr>
      </w:pPr>
    </w:p>
    <w:p w:rsidR="00E76654" w:rsidRDefault="00E76654" w:rsidP="00E76654">
      <w:pPr>
        <w:pStyle w:val="Default"/>
        <w:jc w:val="both"/>
        <w:rPr>
          <w:sz w:val="22"/>
          <w:szCs w:val="22"/>
        </w:rPr>
      </w:pPr>
      <w:r w:rsidRPr="00E76654">
        <w:rPr>
          <w:sz w:val="22"/>
          <w:szCs w:val="22"/>
        </w:rPr>
        <w:t>Une répartition territoriale des UHR a été opérée au niveau national sur la base des données fournies par</w:t>
      </w:r>
      <w:r>
        <w:rPr>
          <w:sz w:val="22"/>
          <w:szCs w:val="22"/>
        </w:rPr>
        <w:t xml:space="preserve"> </w:t>
      </w:r>
      <w:proofErr w:type="spellStart"/>
      <w:r w:rsidRPr="00E76654">
        <w:rPr>
          <w:sz w:val="22"/>
          <w:szCs w:val="22"/>
        </w:rPr>
        <w:t>l'INstitut</w:t>
      </w:r>
      <w:proofErr w:type="spellEnd"/>
      <w:r w:rsidRPr="00E76654">
        <w:rPr>
          <w:sz w:val="22"/>
          <w:szCs w:val="22"/>
        </w:rPr>
        <w:t xml:space="preserve"> de Veille Sanitaire (INVS) recensant, par région et par département, les personnes en affection de</w:t>
      </w:r>
      <w:r>
        <w:rPr>
          <w:sz w:val="22"/>
          <w:szCs w:val="22"/>
        </w:rPr>
        <w:t xml:space="preserve"> </w:t>
      </w:r>
      <w:r w:rsidRPr="00E76654">
        <w:rPr>
          <w:sz w:val="22"/>
          <w:szCs w:val="22"/>
        </w:rPr>
        <w:t>longue durée (ALD15) et/ou traitées par un médicament spécifique de la maladie d'Alzheimer.</w:t>
      </w:r>
    </w:p>
    <w:p w:rsidR="00E76654" w:rsidRDefault="00E76654" w:rsidP="00E76654">
      <w:pPr>
        <w:pStyle w:val="Default"/>
        <w:jc w:val="both"/>
        <w:rPr>
          <w:sz w:val="22"/>
          <w:szCs w:val="22"/>
        </w:rPr>
      </w:pPr>
    </w:p>
    <w:p w:rsidR="00BA1AEA" w:rsidRDefault="00E76654" w:rsidP="00E766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La Réunion, il était ainsi prévu de créer </w:t>
      </w:r>
      <w:r w:rsidRPr="00BA1AEA">
        <w:rPr>
          <w:b/>
          <w:sz w:val="22"/>
          <w:szCs w:val="22"/>
        </w:rPr>
        <w:t>une UHR</w:t>
      </w:r>
      <w:r>
        <w:rPr>
          <w:sz w:val="22"/>
          <w:szCs w:val="22"/>
        </w:rPr>
        <w:t xml:space="preserve"> en EHPAD.</w:t>
      </w:r>
      <w:r w:rsidR="00BA1AEA">
        <w:rPr>
          <w:sz w:val="22"/>
          <w:szCs w:val="22"/>
        </w:rPr>
        <w:t xml:space="preserve"> </w:t>
      </w:r>
      <w:r w:rsidR="0071700A">
        <w:rPr>
          <w:sz w:val="22"/>
          <w:szCs w:val="22"/>
        </w:rPr>
        <w:t>C</w:t>
      </w:r>
      <w:r>
        <w:rPr>
          <w:sz w:val="22"/>
          <w:szCs w:val="22"/>
        </w:rPr>
        <w:t>ette labellisation</w:t>
      </w:r>
      <w:r w:rsidRPr="00E76654">
        <w:rPr>
          <w:sz w:val="22"/>
          <w:szCs w:val="22"/>
        </w:rPr>
        <w:t xml:space="preserve"> se </w:t>
      </w:r>
      <w:r>
        <w:rPr>
          <w:sz w:val="22"/>
          <w:szCs w:val="22"/>
        </w:rPr>
        <w:t>fera</w:t>
      </w:r>
      <w:r w:rsidRPr="00E76654">
        <w:rPr>
          <w:sz w:val="22"/>
          <w:szCs w:val="22"/>
        </w:rPr>
        <w:t xml:space="preserve"> à partir </w:t>
      </w:r>
      <w:r w:rsidR="0071700A">
        <w:rPr>
          <w:sz w:val="22"/>
          <w:szCs w:val="22"/>
        </w:rPr>
        <w:t xml:space="preserve">de la </w:t>
      </w:r>
      <w:r w:rsidR="0071700A" w:rsidRPr="00BA1AEA">
        <w:rPr>
          <w:b/>
          <w:sz w:val="22"/>
          <w:szCs w:val="22"/>
        </w:rPr>
        <w:t>création de quatorze places</w:t>
      </w:r>
      <w:r w:rsidR="00BA1AEA">
        <w:rPr>
          <w:sz w:val="22"/>
          <w:szCs w:val="22"/>
        </w:rPr>
        <w:t>, de la capacité autorisée des EHPAD existants.</w:t>
      </w:r>
    </w:p>
    <w:p w:rsidR="00BA1AEA" w:rsidRDefault="00BA1AEA" w:rsidP="00E76654">
      <w:pPr>
        <w:pStyle w:val="Default"/>
        <w:jc w:val="both"/>
        <w:rPr>
          <w:sz w:val="22"/>
          <w:szCs w:val="22"/>
        </w:rPr>
      </w:pPr>
    </w:p>
    <w:p w:rsidR="008C1BFC" w:rsidRPr="008C1BFC" w:rsidRDefault="004605A7" w:rsidP="006E1228">
      <w:pPr>
        <w:pStyle w:val="Titre2"/>
      </w:pPr>
      <w:bookmarkStart w:id="3" w:name="_Toc474763560"/>
      <w:r>
        <w:t>1.2.</w:t>
      </w:r>
      <w:r>
        <w:tab/>
      </w:r>
      <w:r w:rsidR="008C1BFC" w:rsidRPr="008C1BFC">
        <w:t xml:space="preserve">Le cadre juridique </w:t>
      </w:r>
      <w:r>
        <w:t>l’appel à candidatures</w:t>
      </w:r>
      <w:bookmarkEnd w:id="3"/>
    </w:p>
    <w:p w:rsidR="003D3EB0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851EAA">
        <w:rPr>
          <w:rFonts w:ascii="Arial" w:hAnsi="Arial" w:cs="Arial"/>
          <w:b/>
        </w:rPr>
        <w:t xml:space="preserve">Plan </w:t>
      </w:r>
      <w:r w:rsidRPr="008F02CC">
        <w:rPr>
          <w:rFonts w:ascii="Arial" w:hAnsi="Arial" w:cs="Arial"/>
          <w:b/>
        </w:rPr>
        <w:t>Alzheimer et maladies apparentées 2008</w:t>
      </w:r>
      <w:r>
        <w:rPr>
          <w:rFonts w:ascii="Arial" w:hAnsi="Arial" w:cs="Arial"/>
          <w:b/>
        </w:rPr>
        <w:t>-</w:t>
      </w:r>
      <w:r w:rsidRPr="008F02CC">
        <w:rPr>
          <w:rFonts w:ascii="Arial" w:hAnsi="Arial" w:cs="Arial"/>
          <w:b/>
        </w:rPr>
        <w:t xml:space="preserve">2012 : </w:t>
      </w:r>
      <w:r w:rsidRPr="008F02CC">
        <w:rPr>
          <w:rFonts w:ascii="Arial" w:hAnsi="Arial" w:cs="Arial"/>
        </w:rPr>
        <w:t xml:space="preserve">Mesure </w:t>
      </w:r>
      <w:smartTag w:uri="urn:schemas-microsoft-com:office:cs:smarttags" w:element="NumConv6p0">
        <w:smartTagPr>
          <w:attr w:name="sch" w:val="1"/>
          <w:attr w:name="val" w:val="16"/>
        </w:smartTagPr>
        <w:r w:rsidRPr="008F02CC">
          <w:rPr>
            <w:rFonts w:ascii="Arial" w:hAnsi="Arial" w:cs="Arial"/>
          </w:rPr>
          <w:t>16</w:t>
        </w:r>
      </w:smartTag>
      <w:r w:rsidRPr="008F02CC">
        <w:rPr>
          <w:rFonts w:ascii="Arial" w:hAnsi="Arial" w:cs="Arial"/>
        </w:rPr>
        <w:t>.</w:t>
      </w:r>
    </w:p>
    <w:p w:rsidR="003D3EB0" w:rsidRPr="008F02CC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Maladies Neuro</w:t>
      </w:r>
      <w:r w:rsidRPr="008F02CC">
        <w:rPr>
          <w:rFonts w:ascii="Arial" w:hAnsi="Arial" w:cs="Arial"/>
          <w:b/>
        </w:rPr>
        <w:t xml:space="preserve">dégénératives 2014-2019: </w:t>
      </w:r>
      <w:r w:rsidRPr="008F02CC">
        <w:rPr>
          <w:rFonts w:ascii="Arial" w:hAnsi="Arial" w:cs="Arial"/>
        </w:rPr>
        <w:t>Mesure</w:t>
      </w:r>
      <w:r>
        <w:rPr>
          <w:rFonts w:ascii="Arial" w:hAnsi="Arial" w:cs="Arial"/>
        </w:rPr>
        <w:t>s</w:t>
      </w:r>
      <w:r w:rsidRPr="008F0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8F02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et 27.</w:t>
      </w:r>
    </w:p>
    <w:p w:rsidR="003D3EB0" w:rsidRPr="008F02CC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851EAA">
        <w:rPr>
          <w:rFonts w:ascii="Arial" w:hAnsi="Arial" w:cs="Arial"/>
          <w:b/>
        </w:rPr>
        <w:t>Circulaire DGAS/DSS/DHOS n°2009-</w:t>
      </w:r>
      <w:smartTag w:uri="urn:schemas-microsoft-com:office:cs:smarttags" w:element="NumConv6p0">
        <w:smartTagPr>
          <w:attr w:name="sch" w:val="1"/>
          <w:attr w:name="val" w:val="195"/>
        </w:smartTagPr>
        <w:r w:rsidRPr="00851EAA">
          <w:rPr>
            <w:rFonts w:ascii="Arial" w:hAnsi="Arial" w:cs="Arial"/>
            <w:b/>
          </w:rPr>
          <w:t>195</w:t>
        </w:r>
      </w:smartTag>
      <w:r w:rsidRPr="00851EAA">
        <w:rPr>
          <w:rFonts w:ascii="Arial" w:hAnsi="Arial" w:cs="Arial"/>
          <w:b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 w:rsidRPr="00851EAA">
          <w:rPr>
            <w:rFonts w:ascii="Arial" w:hAnsi="Arial" w:cs="Arial"/>
            <w:b/>
          </w:rPr>
          <w:t>6</w:t>
        </w:r>
      </w:smartTag>
      <w:r w:rsidRPr="00851EAA">
        <w:rPr>
          <w:rFonts w:ascii="Arial" w:hAnsi="Arial" w:cs="Arial"/>
          <w:b/>
        </w:rPr>
        <w:t xml:space="preserve"> juillet </w:t>
      </w:r>
      <w:smartTag w:uri="urn:schemas-microsoft-com:office:cs:smarttags" w:element="NumConv6p0">
        <w:smartTagPr>
          <w:attr w:name="sch" w:val="1"/>
          <w:attr w:name="val" w:val="2009"/>
        </w:smartTagPr>
        <w:r w:rsidRPr="00851EAA">
          <w:rPr>
            <w:rFonts w:ascii="Arial" w:hAnsi="Arial" w:cs="Arial"/>
            <w:b/>
          </w:rPr>
          <w:t>2009</w:t>
        </w:r>
      </w:smartTag>
      <w:r w:rsidRPr="00851EAA">
        <w:rPr>
          <w:rFonts w:ascii="Arial" w:hAnsi="Arial" w:cs="Arial"/>
          <w:b/>
        </w:rPr>
        <w:t xml:space="preserve"> </w:t>
      </w:r>
      <w:r w:rsidRPr="00851EAA">
        <w:rPr>
          <w:rFonts w:ascii="Arial" w:hAnsi="Arial" w:cs="Arial"/>
        </w:rPr>
        <w:t xml:space="preserve">relative à la mise en œuvre du volet médico-social du plan « Alzheimer et maladies apparentées </w:t>
      </w:r>
      <w:r>
        <w:rPr>
          <w:rFonts w:ascii="Arial" w:hAnsi="Arial" w:cs="Arial"/>
        </w:rPr>
        <w:br/>
      </w:r>
      <w:smartTag w:uri="urn:schemas-microsoft-com:office:cs:smarttags" w:element="NumConv6p0">
        <w:smartTagPr>
          <w:attr w:name="sch" w:val="1"/>
          <w:attr w:name="val" w:val="2008"/>
        </w:smartTagPr>
        <w:r w:rsidRPr="00851EAA">
          <w:rPr>
            <w:rFonts w:ascii="Arial" w:hAnsi="Arial" w:cs="Arial"/>
          </w:rPr>
          <w:t>2008</w:t>
        </w:r>
      </w:smartTag>
      <w:r w:rsidRPr="00851EAA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sch" w:val="1"/>
          <w:attr w:name="val" w:val="2012"/>
        </w:smartTagPr>
        <w:r w:rsidRPr="00851EAA">
          <w:rPr>
            <w:rFonts w:ascii="Arial" w:hAnsi="Arial" w:cs="Arial"/>
          </w:rPr>
          <w:t>2012</w:t>
        </w:r>
      </w:smartTag>
      <w:r w:rsidRPr="00851EAA">
        <w:rPr>
          <w:rFonts w:ascii="Arial" w:hAnsi="Arial" w:cs="Arial"/>
        </w:rPr>
        <w:t> ».</w:t>
      </w:r>
    </w:p>
    <w:p w:rsidR="003D3EB0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851EAA">
        <w:rPr>
          <w:rFonts w:ascii="Arial" w:hAnsi="Arial" w:cs="Arial"/>
          <w:b/>
        </w:rPr>
        <w:t>Instruction interministérielle DGAS/DHOS/DSS n°2010-</w:t>
      </w:r>
      <w:smartTag w:uri="urn:schemas-microsoft-com:office:cs:smarttags" w:element="NumConv6p0">
        <w:smartTagPr>
          <w:attr w:name="val" w:val="06"/>
          <w:attr w:name="sch" w:val="1"/>
        </w:smartTagPr>
        <w:r w:rsidRPr="00851EAA">
          <w:rPr>
            <w:rFonts w:ascii="Arial" w:hAnsi="Arial" w:cs="Arial"/>
            <w:b/>
          </w:rPr>
          <w:t>06</w:t>
        </w:r>
      </w:smartTag>
      <w:r w:rsidRPr="00851EAA">
        <w:rPr>
          <w:rFonts w:ascii="Arial" w:hAnsi="Arial" w:cs="Arial"/>
          <w:b/>
        </w:rPr>
        <w:t xml:space="preserve"> du </w:t>
      </w:r>
      <w:smartTag w:uri="urn:schemas-microsoft-com:office:cs:smarttags" w:element="NumConv6p0">
        <w:smartTagPr>
          <w:attr w:name="val" w:val="7"/>
          <w:attr w:name="sch" w:val="1"/>
        </w:smartTagPr>
        <w:r w:rsidRPr="00851EAA">
          <w:rPr>
            <w:rFonts w:ascii="Arial" w:hAnsi="Arial" w:cs="Arial"/>
            <w:b/>
          </w:rPr>
          <w:t>7</w:t>
        </w:r>
      </w:smartTag>
      <w:r w:rsidRPr="00851EAA">
        <w:rPr>
          <w:rFonts w:ascii="Arial" w:hAnsi="Arial" w:cs="Arial"/>
          <w:b/>
        </w:rPr>
        <w:t xml:space="preserve"> janvier </w:t>
      </w:r>
      <w:smartTag w:uri="urn:schemas-microsoft-com:office:cs:smarttags" w:element="NumConv6p0">
        <w:smartTagPr>
          <w:attr w:name="val" w:val="2010"/>
          <w:attr w:name="sch" w:val="1"/>
        </w:smartTagPr>
        <w:r w:rsidRPr="00851EAA">
          <w:rPr>
            <w:rFonts w:ascii="Arial" w:hAnsi="Arial" w:cs="Arial"/>
            <w:b/>
          </w:rPr>
          <w:t>2010</w:t>
        </w:r>
      </w:smartTag>
      <w:r w:rsidRPr="00851EAA">
        <w:rPr>
          <w:rFonts w:ascii="Arial" w:hAnsi="Arial" w:cs="Arial"/>
        </w:rPr>
        <w:t xml:space="preserve"> relative à l’application du volet médico-social du plan Alzheimer.</w:t>
      </w:r>
    </w:p>
    <w:p w:rsidR="003D3EB0" w:rsidRPr="008F02CC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28700F">
        <w:rPr>
          <w:rFonts w:ascii="Arial" w:hAnsi="Arial" w:cs="Arial"/>
          <w:b/>
        </w:rPr>
        <w:t xml:space="preserve">Instruction DHOS du </w:t>
      </w:r>
      <w:smartTag w:uri="urn:schemas-microsoft-com:office:cs:smarttags" w:element="NumConv6p0">
        <w:smartTagPr>
          <w:attr w:name="val" w:val="23"/>
          <w:attr w:name="sch" w:val="1"/>
        </w:smartTagPr>
        <w:r w:rsidRPr="0028700F">
          <w:rPr>
            <w:rFonts w:ascii="Arial" w:hAnsi="Arial" w:cs="Arial"/>
            <w:b/>
          </w:rPr>
          <w:t>23</w:t>
        </w:r>
      </w:smartTag>
      <w:r w:rsidRPr="0028700F">
        <w:rPr>
          <w:rFonts w:ascii="Arial" w:hAnsi="Arial" w:cs="Arial"/>
          <w:b/>
        </w:rPr>
        <w:t xml:space="preserve"> février </w:t>
      </w:r>
      <w:smartTag w:uri="urn:schemas-microsoft-com:office:cs:smarttags" w:element="NumConv6p0">
        <w:smartTagPr>
          <w:attr w:name="val" w:val="2010"/>
          <w:attr w:name="sch" w:val="1"/>
        </w:smartTagPr>
        <w:r w:rsidRPr="0028700F">
          <w:rPr>
            <w:rFonts w:ascii="Arial" w:hAnsi="Arial" w:cs="Arial"/>
            <w:b/>
          </w:rPr>
          <w:t>2010</w:t>
        </w:r>
      </w:smartTag>
      <w:r w:rsidRPr="0028700F">
        <w:rPr>
          <w:rFonts w:ascii="Arial" w:hAnsi="Arial" w:cs="Arial"/>
        </w:rPr>
        <w:t xml:space="preserve"> relative aux modalités de déploiement et de financement des unités d’hébergement renforcées dans le secteur sanitaire.</w:t>
      </w:r>
    </w:p>
    <w:p w:rsidR="003D3EB0" w:rsidRPr="008F02CC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851EAA">
        <w:rPr>
          <w:rFonts w:ascii="Arial" w:hAnsi="Arial" w:cs="Arial"/>
          <w:b/>
        </w:rPr>
        <w:t>Circulaire</w:t>
      </w:r>
      <w:r>
        <w:rPr>
          <w:rFonts w:ascii="Arial" w:hAnsi="Arial" w:cs="Arial"/>
          <w:b/>
        </w:rPr>
        <w:t xml:space="preserve"> interministérielle DGCS/DSS n°</w:t>
      </w:r>
      <w:smartTag w:uri="urn:schemas-microsoft-com:office:cs:smarttags" w:element="NumConv6p0">
        <w:smartTagPr>
          <w:attr w:name="val" w:val="2010"/>
          <w:attr w:name="sch" w:val="1"/>
        </w:smartTagPr>
        <w:r w:rsidRPr="00851EAA">
          <w:rPr>
            <w:rFonts w:ascii="Arial" w:hAnsi="Arial" w:cs="Arial"/>
            <w:b/>
          </w:rPr>
          <w:t>2010</w:t>
        </w:r>
      </w:smartTag>
      <w:r w:rsidRPr="00851EAA">
        <w:rPr>
          <w:rFonts w:ascii="Arial" w:hAnsi="Arial" w:cs="Arial"/>
          <w:b/>
        </w:rPr>
        <w:t>-</w:t>
      </w:r>
      <w:smartTag w:uri="urn:schemas-microsoft-com:office:cs:smarttags" w:element="NumConv6p0">
        <w:smartTagPr>
          <w:attr w:name="val" w:val="179"/>
          <w:attr w:name="sch" w:val="1"/>
        </w:smartTagPr>
        <w:r w:rsidRPr="00851EAA">
          <w:rPr>
            <w:rFonts w:ascii="Arial" w:hAnsi="Arial" w:cs="Arial"/>
            <w:b/>
          </w:rPr>
          <w:t>179</w:t>
        </w:r>
      </w:smartTag>
      <w:r w:rsidRPr="00851EAA">
        <w:rPr>
          <w:rFonts w:ascii="Arial" w:hAnsi="Arial" w:cs="Arial"/>
          <w:b/>
        </w:rPr>
        <w:t xml:space="preserve"> du </w:t>
      </w:r>
      <w:smartTag w:uri="urn:schemas-microsoft-com:office:cs:smarttags" w:element="NumConv6p0">
        <w:smartTagPr>
          <w:attr w:name="val" w:val="31"/>
          <w:attr w:name="sch" w:val="1"/>
        </w:smartTagPr>
        <w:r w:rsidRPr="00851EAA">
          <w:rPr>
            <w:rFonts w:ascii="Arial" w:hAnsi="Arial" w:cs="Arial"/>
            <w:b/>
          </w:rPr>
          <w:t>31</w:t>
        </w:r>
      </w:smartTag>
      <w:r w:rsidRPr="00851EAA">
        <w:rPr>
          <w:rFonts w:ascii="Arial" w:hAnsi="Arial" w:cs="Arial"/>
          <w:b/>
        </w:rPr>
        <w:t xml:space="preserve"> mai </w:t>
      </w:r>
      <w:smartTag w:uri="urn:schemas-microsoft-com:office:cs:smarttags" w:element="NumConv6p0">
        <w:smartTagPr>
          <w:attr w:name="val" w:val="2010"/>
          <w:attr w:name="sch" w:val="1"/>
        </w:smartTagPr>
        <w:r w:rsidRPr="00851EAA">
          <w:rPr>
            <w:rFonts w:ascii="Arial" w:hAnsi="Arial" w:cs="Arial"/>
            <w:b/>
          </w:rPr>
          <w:t>2010</w:t>
        </w:r>
      </w:smartTag>
      <w:r w:rsidRPr="00851EAA">
        <w:rPr>
          <w:rFonts w:ascii="Arial" w:hAnsi="Arial" w:cs="Arial"/>
        </w:rPr>
        <w:t xml:space="preserve"> relative aux orientations de l’exercice </w:t>
      </w:r>
      <w:smartTag w:uri="urn:schemas-microsoft-com:office:cs:smarttags" w:element="NumConv6p0">
        <w:smartTagPr>
          <w:attr w:name="val" w:val="2010"/>
          <w:attr w:name="sch" w:val="1"/>
        </w:smartTagPr>
        <w:r w:rsidRPr="00851EAA">
          <w:rPr>
            <w:rFonts w:ascii="Arial" w:hAnsi="Arial" w:cs="Arial"/>
          </w:rPr>
          <w:t>2010</w:t>
        </w:r>
      </w:smartTag>
      <w:r w:rsidRPr="00851EAA">
        <w:rPr>
          <w:rFonts w:ascii="Arial" w:hAnsi="Arial" w:cs="Arial"/>
        </w:rPr>
        <w:t xml:space="preserve"> pour la campagne budgétaire des établissements et services médico-sociaux accueillant des personnes handicapées et des personnes âgées.</w:t>
      </w:r>
    </w:p>
    <w:p w:rsidR="003D3EB0" w:rsidRPr="00265F63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265F63">
        <w:rPr>
          <w:rFonts w:ascii="Arial" w:hAnsi="Arial" w:cs="Arial"/>
          <w:b/>
          <w:bCs/>
        </w:rPr>
        <w:t xml:space="preserve">Circulaire interministérielle DGCS/SD3A/DGOS/SDR n°2011-362 du 19 septembre 2011 </w:t>
      </w:r>
      <w:r w:rsidRPr="00265F63">
        <w:rPr>
          <w:rFonts w:ascii="Arial" w:hAnsi="Arial" w:cs="Arial"/>
          <w:bCs/>
        </w:rPr>
        <w:t>relative à la mesure 16 (pôle d’activités et de soins adaptés et unités d’hébergement renforcées) du plan Alzheimer et maladies apparentées 2008-2012.</w:t>
      </w:r>
    </w:p>
    <w:p w:rsidR="003D3EB0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2F648A">
        <w:rPr>
          <w:rFonts w:ascii="Arial" w:hAnsi="Arial" w:cs="Arial"/>
          <w:b/>
        </w:rPr>
        <w:lastRenderedPageBreak/>
        <w:t>Arrêté du 9 avril 2013 portant application du I de l'article R. 314-50 du CASF</w:t>
      </w:r>
      <w:r>
        <w:rPr>
          <w:rFonts w:ascii="Arial" w:hAnsi="Arial" w:cs="Arial"/>
        </w:rPr>
        <w:t xml:space="preserve"> </w:t>
      </w:r>
      <w:r w:rsidRPr="00630DBB">
        <w:rPr>
          <w:rFonts w:ascii="Arial" w:hAnsi="Arial" w:cs="Arial"/>
        </w:rPr>
        <w:t>pour les établissements hébergeant des personnes âgées dépendantes autorisés à exercer une activité d'hébergement temporaire et pour lesdits établissements exerçant une activité de pôle d'activités et de soins adaptés ou d'unité d'hébergement renforcée</w:t>
      </w:r>
    </w:p>
    <w:p w:rsidR="003D3EB0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2F648A">
        <w:rPr>
          <w:rFonts w:ascii="Arial" w:hAnsi="Arial" w:cs="Arial"/>
          <w:b/>
        </w:rPr>
        <w:t>INSTRUCTION N° SG/CNSA/2016/58 du 22 janvier 2016</w:t>
      </w:r>
      <w:r w:rsidRPr="002F648A">
        <w:rPr>
          <w:rFonts w:ascii="Arial" w:hAnsi="Arial" w:cs="Arial"/>
        </w:rPr>
        <w:t xml:space="preserve"> relative à la déclinaison r</w:t>
      </w:r>
      <w:r>
        <w:rPr>
          <w:rFonts w:ascii="Arial" w:hAnsi="Arial" w:cs="Arial"/>
        </w:rPr>
        <w:t>égionale du plan maladies neuro</w:t>
      </w:r>
      <w:r w:rsidRPr="002F648A">
        <w:rPr>
          <w:rFonts w:ascii="Arial" w:hAnsi="Arial" w:cs="Arial"/>
        </w:rPr>
        <w:t>dégénératives 2014-2019</w:t>
      </w:r>
    </w:p>
    <w:p w:rsidR="003D3EB0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854368">
        <w:rPr>
          <w:rFonts w:ascii="Arial" w:hAnsi="Arial" w:cs="Arial"/>
          <w:b/>
        </w:rPr>
        <w:t>Décret n° 2016-1164 du 26 août 2016</w:t>
      </w:r>
      <w:r w:rsidRPr="00630DBB">
        <w:rPr>
          <w:rFonts w:ascii="Arial" w:hAnsi="Arial" w:cs="Arial"/>
        </w:rPr>
        <w:t xml:space="preserve"> relatif aux conditions techniques minimales d'organisation et de fonctionnement des établissements d'hébergement pour personnes âgées dépendantes</w:t>
      </w:r>
    </w:p>
    <w:p w:rsidR="003D3EB0" w:rsidRPr="002846B5" w:rsidRDefault="003D3EB0" w:rsidP="003D3EB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3D3EB0">
        <w:rPr>
          <w:rFonts w:ascii="Arial" w:hAnsi="Arial" w:cs="Arial"/>
          <w:b/>
        </w:rPr>
        <w:t>Lettre de cadrage RBP de l’ANESM</w:t>
      </w:r>
      <w:r w:rsidRPr="002846B5">
        <w:rPr>
          <w:rFonts w:ascii="Arial" w:hAnsi="Arial" w:cs="Arial"/>
        </w:rPr>
        <w:t xml:space="preserve"> « L’accueil et l’accompagnement des personne</w:t>
      </w:r>
      <w:r w:rsidR="00E76654">
        <w:rPr>
          <w:rFonts w:ascii="Arial" w:hAnsi="Arial" w:cs="Arial"/>
        </w:rPr>
        <w:t>s atteintes d’une maladie neuro</w:t>
      </w:r>
      <w:r w:rsidRPr="002846B5">
        <w:rPr>
          <w:rFonts w:ascii="Arial" w:hAnsi="Arial" w:cs="Arial"/>
        </w:rPr>
        <w:t>dégénérative en Pôle d’activités et de soins adaptés (PASA) et en Unité d’hébergement renforcé (UHR)</w:t>
      </w:r>
      <w:r>
        <w:rPr>
          <w:rFonts w:ascii="Arial" w:hAnsi="Arial" w:cs="Arial"/>
        </w:rPr>
        <w:t> », 2016</w:t>
      </w:r>
    </w:p>
    <w:p w:rsidR="00DA2BE3" w:rsidRDefault="00DA2BE3" w:rsidP="007165EA">
      <w:pPr>
        <w:pStyle w:val="Default"/>
        <w:jc w:val="both"/>
        <w:rPr>
          <w:color w:val="auto"/>
          <w:sz w:val="22"/>
          <w:szCs w:val="22"/>
        </w:rPr>
      </w:pPr>
    </w:p>
    <w:p w:rsidR="007165EA" w:rsidRDefault="007165EA" w:rsidP="007165EA">
      <w:pPr>
        <w:pStyle w:val="Default"/>
        <w:jc w:val="both"/>
        <w:rPr>
          <w:color w:val="auto"/>
          <w:sz w:val="22"/>
          <w:szCs w:val="22"/>
        </w:rPr>
      </w:pPr>
    </w:p>
    <w:p w:rsidR="008C1BFC" w:rsidRPr="008C1BFC" w:rsidRDefault="000500D7" w:rsidP="006E1228">
      <w:pPr>
        <w:pStyle w:val="Titre2"/>
      </w:pPr>
      <w:bookmarkStart w:id="4" w:name="_Toc474763561"/>
      <w:r>
        <w:t>1.3</w:t>
      </w:r>
      <w:r w:rsidR="000D2280">
        <w:t>.</w:t>
      </w:r>
      <w:r w:rsidR="000D2280">
        <w:tab/>
      </w:r>
      <w:r w:rsidR="008C1BFC" w:rsidRPr="008C1BFC">
        <w:t xml:space="preserve">Les caractéristiques </w:t>
      </w:r>
      <w:r w:rsidR="005E4471">
        <w:t>du projet</w:t>
      </w:r>
      <w:bookmarkEnd w:id="4"/>
    </w:p>
    <w:p w:rsidR="00C83C5D" w:rsidRPr="00C83C5D" w:rsidRDefault="000500D7" w:rsidP="000500D7">
      <w:pPr>
        <w:pStyle w:val="Titre3"/>
      </w:pPr>
      <w:bookmarkStart w:id="5" w:name="_Toc474763562"/>
      <w:r>
        <w:t>1.3</w:t>
      </w:r>
      <w:r w:rsidR="00C83C5D">
        <w:t>.1.</w:t>
      </w:r>
      <w:r w:rsidR="00C83C5D">
        <w:tab/>
      </w:r>
      <w:r w:rsidR="00C83C5D" w:rsidRPr="00C83C5D">
        <w:t>Structures porteuses éligibles</w:t>
      </w:r>
      <w:bookmarkEnd w:id="5"/>
    </w:p>
    <w:p w:rsidR="00C83C5D" w:rsidRDefault="00360136" w:rsidP="00360136">
      <w:pPr>
        <w:jc w:val="both"/>
        <w:rPr>
          <w:rFonts w:ascii="Arial" w:hAnsi="Arial" w:cs="Arial"/>
        </w:rPr>
      </w:pPr>
      <w:r w:rsidRPr="00360136">
        <w:rPr>
          <w:rFonts w:ascii="Arial" w:hAnsi="Arial" w:cs="Arial"/>
        </w:rPr>
        <w:t xml:space="preserve">Le porteur d’un projet </w:t>
      </w:r>
      <w:r>
        <w:rPr>
          <w:rFonts w:ascii="Arial" w:hAnsi="Arial" w:cs="Arial"/>
        </w:rPr>
        <w:t>UHR</w:t>
      </w:r>
      <w:r w:rsidRPr="00360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peut</w:t>
      </w:r>
      <w:r w:rsidRPr="00360136">
        <w:rPr>
          <w:rFonts w:ascii="Arial" w:hAnsi="Arial" w:cs="Arial"/>
        </w:rPr>
        <w:t xml:space="preserve"> poursuivre un but lucratif </w:t>
      </w:r>
      <w:r w:rsidR="007C2899">
        <w:rPr>
          <w:rFonts w:ascii="Arial" w:hAnsi="Arial" w:cs="Arial"/>
        </w:rPr>
        <w:t xml:space="preserve">(EHPAD privé) </w:t>
      </w:r>
      <w:r>
        <w:rPr>
          <w:rFonts w:ascii="Arial" w:hAnsi="Arial" w:cs="Arial"/>
        </w:rPr>
        <w:t xml:space="preserve">ou </w:t>
      </w:r>
      <w:r w:rsidRPr="00360136">
        <w:rPr>
          <w:rFonts w:ascii="Arial" w:hAnsi="Arial" w:cs="Arial"/>
        </w:rPr>
        <w:t>non (association, établissement public, etc…)</w:t>
      </w:r>
      <w:r w:rsidR="007C2899">
        <w:rPr>
          <w:rFonts w:ascii="Arial" w:hAnsi="Arial" w:cs="Arial"/>
        </w:rPr>
        <w:t xml:space="preserve">. Il doit </w:t>
      </w:r>
      <w:r w:rsidR="007C2899" w:rsidRPr="00360136">
        <w:rPr>
          <w:rFonts w:ascii="Arial" w:hAnsi="Arial" w:cs="Arial"/>
        </w:rPr>
        <w:t xml:space="preserve">être un acteur de la </w:t>
      </w:r>
      <w:r w:rsidR="007C2899">
        <w:rPr>
          <w:rFonts w:ascii="Arial" w:hAnsi="Arial" w:cs="Arial"/>
        </w:rPr>
        <w:t>prise en charge des personnes âgées fortement dépendantes et disposer d’un EHPAD avec a minima 47 places</w:t>
      </w:r>
      <w:r w:rsidRPr="00360136">
        <w:rPr>
          <w:rFonts w:ascii="Arial" w:hAnsi="Arial" w:cs="Arial"/>
        </w:rPr>
        <w:t>.</w:t>
      </w:r>
    </w:p>
    <w:p w:rsidR="00360136" w:rsidRDefault="00360136" w:rsidP="00C83C5D">
      <w:pPr>
        <w:rPr>
          <w:rFonts w:ascii="Arial" w:hAnsi="Arial" w:cs="Arial"/>
        </w:rPr>
      </w:pPr>
    </w:p>
    <w:p w:rsidR="00C83C5D" w:rsidRPr="00C83C5D" w:rsidRDefault="000500D7" w:rsidP="00924A6B">
      <w:pPr>
        <w:pStyle w:val="Titre3"/>
      </w:pPr>
      <w:bookmarkStart w:id="6" w:name="_Toc474763563"/>
      <w:r>
        <w:t>1.3.</w:t>
      </w:r>
      <w:r w:rsidR="00C83C5D">
        <w:t>2.</w:t>
      </w:r>
      <w:r w:rsidR="00C83C5D">
        <w:tab/>
      </w:r>
      <w:r w:rsidR="00C83C5D" w:rsidRPr="00C83C5D">
        <w:t>Territoire d’implantation</w:t>
      </w:r>
      <w:bookmarkEnd w:id="6"/>
    </w:p>
    <w:p w:rsidR="001E5606" w:rsidRPr="00E76654" w:rsidRDefault="001E5606" w:rsidP="001E5606">
      <w:pPr>
        <w:pStyle w:val="Default"/>
        <w:jc w:val="both"/>
        <w:rPr>
          <w:sz w:val="22"/>
          <w:szCs w:val="22"/>
        </w:rPr>
      </w:pPr>
      <w:r w:rsidRPr="00E76654">
        <w:rPr>
          <w:sz w:val="22"/>
          <w:szCs w:val="22"/>
        </w:rPr>
        <w:t xml:space="preserve">La localisation </w:t>
      </w:r>
      <w:r>
        <w:rPr>
          <w:sz w:val="22"/>
          <w:szCs w:val="22"/>
        </w:rPr>
        <w:t>de la nouvelle UHR médico-sociale</w:t>
      </w:r>
      <w:r w:rsidRPr="00E76654">
        <w:rPr>
          <w:sz w:val="22"/>
          <w:szCs w:val="22"/>
        </w:rPr>
        <w:t xml:space="preserve"> en EHPAD doit se faire en corrélation avec les labellisations</w:t>
      </w:r>
      <w:r>
        <w:rPr>
          <w:sz w:val="22"/>
          <w:szCs w:val="22"/>
        </w:rPr>
        <w:t xml:space="preserve"> déjà existantes. </w:t>
      </w:r>
      <w:r w:rsidRPr="00E76654">
        <w:rPr>
          <w:sz w:val="22"/>
          <w:szCs w:val="22"/>
        </w:rPr>
        <w:t xml:space="preserve">Les </w:t>
      </w:r>
      <w:r>
        <w:rPr>
          <w:sz w:val="22"/>
          <w:szCs w:val="22"/>
        </w:rPr>
        <w:t>microrégions</w:t>
      </w:r>
      <w:r w:rsidRPr="00E76654">
        <w:rPr>
          <w:sz w:val="22"/>
          <w:szCs w:val="22"/>
        </w:rPr>
        <w:t xml:space="preserve"> d’ores et déjà </w:t>
      </w:r>
      <w:r>
        <w:rPr>
          <w:sz w:val="22"/>
          <w:szCs w:val="22"/>
        </w:rPr>
        <w:t>dotées d’infrastructures de ce type</w:t>
      </w:r>
      <w:r w:rsidRPr="00E76654">
        <w:rPr>
          <w:sz w:val="22"/>
          <w:szCs w:val="22"/>
        </w:rPr>
        <w:t xml:space="preserve"> sont :</w:t>
      </w:r>
    </w:p>
    <w:p w:rsidR="001E5606" w:rsidRDefault="001E5606" w:rsidP="001E560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l’ouest, avec l’UHR situé</w:t>
      </w:r>
      <w:r w:rsidR="00FD23B0">
        <w:rPr>
          <w:sz w:val="22"/>
          <w:szCs w:val="22"/>
        </w:rPr>
        <w:t>e</w:t>
      </w:r>
      <w:r>
        <w:rPr>
          <w:sz w:val="22"/>
          <w:szCs w:val="22"/>
        </w:rPr>
        <w:t xml:space="preserve"> à l’EHPAD des Lataniers à La Possession,</w:t>
      </w:r>
    </w:p>
    <w:p w:rsidR="001E5606" w:rsidRPr="00E76654" w:rsidRDefault="001E5606" w:rsidP="001E560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sud, avec l’</w:t>
      </w:r>
      <w:r w:rsidRPr="001E5606">
        <w:rPr>
          <w:sz w:val="22"/>
          <w:szCs w:val="22"/>
        </w:rPr>
        <w:t xml:space="preserve">Unité </w:t>
      </w:r>
      <w:proofErr w:type="spellStart"/>
      <w:r w:rsidRPr="001E5606">
        <w:rPr>
          <w:sz w:val="22"/>
          <w:szCs w:val="22"/>
        </w:rPr>
        <w:t>Cognitivo</w:t>
      </w:r>
      <w:proofErr w:type="spellEnd"/>
      <w:r w:rsidRPr="001E5606">
        <w:rPr>
          <w:sz w:val="22"/>
          <w:szCs w:val="22"/>
        </w:rPr>
        <w:t>-Comportementales</w:t>
      </w:r>
      <w:r>
        <w:rPr>
          <w:sz w:val="22"/>
          <w:szCs w:val="22"/>
        </w:rPr>
        <w:t xml:space="preserve"> (UCC) du CHR du Tampon.</w:t>
      </w:r>
    </w:p>
    <w:p w:rsidR="001E5606" w:rsidRDefault="001E5606" w:rsidP="001E5606">
      <w:pPr>
        <w:pStyle w:val="Default"/>
        <w:jc w:val="both"/>
        <w:rPr>
          <w:sz w:val="22"/>
          <w:szCs w:val="22"/>
        </w:rPr>
      </w:pPr>
    </w:p>
    <w:p w:rsidR="00B203CE" w:rsidRPr="00B203CE" w:rsidRDefault="00B203CE" w:rsidP="00B203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Par rapport aux besoins existants</w:t>
      </w:r>
      <w:r w:rsidR="00826A79">
        <w:rPr>
          <w:sz w:val="22"/>
          <w:szCs w:val="22"/>
        </w:rPr>
        <w:t xml:space="preserve"> en la matière</w:t>
      </w:r>
      <w:r>
        <w:rPr>
          <w:sz w:val="22"/>
          <w:szCs w:val="22"/>
        </w:rPr>
        <w:t xml:space="preserve">, </w:t>
      </w:r>
      <w:r w:rsidR="00826A79">
        <w:rPr>
          <w:sz w:val="22"/>
          <w:szCs w:val="22"/>
        </w:rPr>
        <w:t>l</w:t>
      </w:r>
      <w:r w:rsidR="00826A79" w:rsidRPr="00B203CE">
        <w:rPr>
          <w:sz w:val="22"/>
          <w:szCs w:val="22"/>
        </w:rPr>
        <w:t xml:space="preserve">a Mission Inspection Contrôle de l’ARS OI </w:t>
      </w:r>
      <w:r w:rsidR="00826A79">
        <w:rPr>
          <w:sz w:val="22"/>
          <w:szCs w:val="22"/>
        </w:rPr>
        <w:t>a recensé</w:t>
      </w:r>
      <w:r w:rsidR="00826A79" w:rsidRPr="00B203CE">
        <w:rPr>
          <w:sz w:val="22"/>
          <w:szCs w:val="22"/>
        </w:rPr>
        <w:t>, entre janvier 2012 et juin 2014, 17 signalements (EHPAD) et 5 plaintes / réclamations (patients et aidants).</w:t>
      </w:r>
      <w:r w:rsidR="00826A79">
        <w:rPr>
          <w:sz w:val="22"/>
          <w:szCs w:val="22"/>
        </w:rPr>
        <w:t xml:space="preserve"> Par ailleurs, </w:t>
      </w:r>
      <w:r w:rsidRPr="00B203CE">
        <w:rPr>
          <w:sz w:val="22"/>
          <w:szCs w:val="22"/>
        </w:rPr>
        <w:t xml:space="preserve">un recensement </w:t>
      </w:r>
      <w:r>
        <w:rPr>
          <w:sz w:val="22"/>
          <w:szCs w:val="22"/>
        </w:rPr>
        <w:t xml:space="preserve">– effectué </w:t>
      </w:r>
      <w:r w:rsidRPr="00B203CE">
        <w:rPr>
          <w:sz w:val="22"/>
          <w:szCs w:val="22"/>
        </w:rPr>
        <w:t>en avril 2014</w:t>
      </w:r>
      <w:r>
        <w:rPr>
          <w:sz w:val="22"/>
          <w:szCs w:val="22"/>
        </w:rPr>
        <w:t xml:space="preserve"> par</w:t>
      </w:r>
      <w:r w:rsidRPr="00B203CE">
        <w:rPr>
          <w:sz w:val="22"/>
          <w:szCs w:val="22"/>
        </w:rPr>
        <w:t xml:space="preserve"> l’ARSOI</w:t>
      </w:r>
      <w:r>
        <w:rPr>
          <w:sz w:val="22"/>
          <w:szCs w:val="22"/>
        </w:rPr>
        <w:t xml:space="preserve"> auprès de </w:t>
      </w:r>
      <w:r w:rsidRPr="00B203CE">
        <w:rPr>
          <w:sz w:val="22"/>
          <w:szCs w:val="22"/>
        </w:rPr>
        <w:t>8 EHPAD et USLD de la Réunion</w:t>
      </w:r>
      <w:r>
        <w:rPr>
          <w:sz w:val="22"/>
          <w:szCs w:val="22"/>
        </w:rPr>
        <w:t xml:space="preserve"> –</w:t>
      </w:r>
      <w:r w:rsidRPr="00B203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permis de repérer </w:t>
      </w:r>
      <w:r w:rsidRPr="00B203CE">
        <w:rPr>
          <w:sz w:val="22"/>
          <w:szCs w:val="22"/>
        </w:rPr>
        <w:t>21</w:t>
      </w:r>
      <w:r w:rsidR="00826A79">
        <w:rPr>
          <w:sz w:val="22"/>
          <w:szCs w:val="22"/>
        </w:rPr>
        <w:t>6</w:t>
      </w:r>
      <w:r w:rsidRPr="00B203CE">
        <w:rPr>
          <w:sz w:val="22"/>
          <w:szCs w:val="22"/>
        </w:rPr>
        <w:t xml:space="preserve"> patients avec </w:t>
      </w:r>
      <w:r>
        <w:rPr>
          <w:sz w:val="22"/>
          <w:szCs w:val="22"/>
        </w:rPr>
        <w:t>troubles du comportement perturbateurs (</w:t>
      </w:r>
      <w:r w:rsidRPr="00B203CE">
        <w:rPr>
          <w:sz w:val="22"/>
          <w:szCs w:val="22"/>
        </w:rPr>
        <w:t>TCP</w:t>
      </w:r>
      <w:r>
        <w:rPr>
          <w:sz w:val="22"/>
          <w:szCs w:val="22"/>
        </w:rPr>
        <w:t>)</w:t>
      </w:r>
      <w:r w:rsidRPr="00B203CE">
        <w:rPr>
          <w:sz w:val="22"/>
          <w:szCs w:val="22"/>
        </w:rPr>
        <w:t>. La ventilation de</w:t>
      </w:r>
      <w:r w:rsidR="00826A79">
        <w:rPr>
          <w:sz w:val="22"/>
          <w:szCs w:val="22"/>
        </w:rPr>
        <w:t xml:space="preserve"> ce</w:t>
      </w:r>
      <w:r w:rsidRPr="00B203CE">
        <w:rPr>
          <w:sz w:val="22"/>
          <w:szCs w:val="22"/>
        </w:rPr>
        <w:t xml:space="preserve">s personnes par territoire </w:t>
      </w:r>
      <w:r w:rsidR="00826A79">
        <w:rPr>
          <w:sz w:val="22"/>
          <w:szCs w:val="22"/>
        </w:rPr>
        <w:t>était la</w:t>
      </w:r>
      <w:r w:rsidRPr="00B203CE">
        <w:rPr>
          <w:sz w:val="22"/>
          <w:szCs w:val="22"/>
        </w:rPr>
        <w:t xml:space="preserve"> suivante :</w:t>
      </w:r>
    </w:p>
    <w:p w:rsidR="00B203CE" w:rsidRPr="00B203CE" w:rsidRDefault="00B203CE" w:rsidP="00B203CE">
      <w:pPr>
        <w:pStyle w:val="Default"/>
        <w:jc w:val="both"/>
        <w:rPr>
          <w:sz w:val="22"/>
          <w:szCs w:val="22"/>
        </w:rPr>
      </w:pPr>
    </w:p>
    <w:tbl>
      <w:tblPr>
        <w:tblW w:w="3060" w:type="dxa"/>
        <w:jc w:val="center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60"/>
      </w:tblGrid>
      <w:tr w:rsidR="00B203CE" w:rsidTr="00B203CE">
        <w:trPr>
          <w:trHeight w:val="315"/>
          <w:jc w:val="center"/>
        </w:trPr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3CE" w:rsidRDefault="00B203CE" w:rsidP="00826A7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03CE" w:rsidRDefault="00B203CE" w:rsidP="00826A79">
            <w:pPr>
              <w:spacing w:before="60" w:after="6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nombr</w:t>
            </w:r>
            <w:r w:rsidR="00826A79">
              <w:rPr>
                <w:b/>
                <w:bCs/>
                <w:color w:val="000000"/>
                <w:lang w:eastAsia="fr-FR"/>
              </w:rPr>
              <w:t xml:space="preserve">e de résidants d’EHPAD et USLD </w:t>
            </w:r>
            <w:r>
              <w:rPr>
                <w:b/>
                <w:bCs/>
                <w:color w:val="000000"/>
                <w:lang w:eastAsia="fr-FR"/>
              </w:rPr>
              <w:t>avec TCP</w:t>
            </w:r>
          </w:p>
        </w:tc>
      </w:tr>
      <w:tr w:rsidR="00B203CE" w:rsidTr="00B203CE">
        <w:trPr>
          <w:trHeight w:val="30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3CE" w:rsidRDefault="00B203CE" w:rsidP="00826A79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nord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3CE" w:rsidRDefault="00B203CE" w:rsidP="00826A79">
            <w:pPr>
              <w:spacing w:before="60" w:after="60" w:line="240" w:lineRule="auto"/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69</w:t>
            </w:r>
          </w:p>
        </w:tc>
      </w:tr>
      <w:tr w:rsidR="00B203CE" w:rsidTr="00B203C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3CE" w:rsidRDefault="00B203CE" w:rsidP="00826A79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est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3CE" w:rsidRDefault="00B203CE" w:rsidP="00826A79">
            <w:pPr>
              <w:spacing w:before="60" w:after="60" w:line="240" w:lineRule="auto"/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32</w:t>
            </w:r>
          </w:p>
        </w:tc>
      </w:tr>
      <w:tr w:rsidR="00B203CE" w:rsidTr="00B203C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3CE" w:rsidRDefault="00B203CE" w:rsidP="00826A79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ouest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3CE" w:rsidRDefault="00B203CE" w:rsidP="00826A79">
            <w:pPr>
              <w:spacing w:before="60" w:after="60" w:line="240" w:lineRule="auto"/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</w:t>
            </w:r>
          </w:p>
        </w:tc>
      </w:tr>
      <w:tr w:rsidR="00B203CE" w:rsidTr="00B203CE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3CE" w:rsidRDefault="00B203CE" w:rsidP="00826A79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sud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3CE" w:rsidRDefault="00B203CE" w:rsidP="00826A79">
            <w:pPr>
              <w:spacing w:before="60" w:after="60" w:line="240" w:lineRule="auto"/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105</w:t>
            </w:r>
          </w:p>
        </w:tc>
      </w:tr>
    </w:tbl>
    <w:p w:rsidR="00B203CE" w:rsidRDefault="00B203CE" w:rsidP="001E5606">
      <w:pPr>
        <w:pStyle w:val="Default"/>
        <w:jc w:val="both"/>
        <w:rPr>
          <w:sz w:val="22"/>
          <w:szCs w:val="22"/>
        </w:rPr>
      </w:pPr>
    </w:p>
    <w:p w:rsidR="001E5606" w:rsidRDefault="002C429F" w:rsidP="001E56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 regard des besoins, l</w:t>
      </w:r>
      <w:r w:rsidR="001E5606" w:rsidRPr="00E76654">
        <w:rPr>
          <w:sz w:val="22"/>
          <w:szCs w:val="22"/>
        </w:rPr>
        <w:t xml:space="preserve">e </w:t>
      </w:r>
      <w:r w:rsidR="00B203CE">
        <w:rPr>
          <w:b/>
          <w:sz w:val="22"/>
          <w:szCs w:val="22"/>
        </w:rPr>
        <w:t>territoire</w:t>
      </w:r>
      <w:r w:rsidR="001E5606" w:rsidRPr="001E5606">
        <w:rPr>
          <w:b/>
          <w:sz w:val="22"/>
          <w:szCs w:val="22"/>
        </w:rPr>
        <w:t xml:space="preserve"> du sud</w:t>
      </w:r>
      <w:r w:rsidR="001E5606">
        <w:rPr>
          <w:sz w:val="22"/>
          <w:szCs w:val="22"/>
        </w:rPr>
        <w:t xml:space="preserve"> de La Réunion</w:t>
      </w:r>
      <w:r w:rsidR="001E5606" w:rsidRPr="00E76654">
        <w:rPr>
          <w:sz w:val="22"/>
          <w:szCs w:val="22"/>
        </w:rPr>
        <w:t xml:space="preserve"> </w:t>
      </w:r>
      <w:r w:rsidR="00B203CE">
        <w:rPr>
          <w:sz w:val="22"/>
          <w:szCs w:val="22"/>
        </w:rPr>
        <w:t>sera</w:t>
      </w:r>
      <w:r w:rsidR="001E5606" w:rsidRPr="00E76654">
        <w:rPr>
          <w:sz w:val="22"/>
          <w:szCs w:val="22"/>
        </w:rPr>
        <w:t xml:space="preserve"> donc prioritaire</w:t>
      </w:r>
      <w:r>
        <w:rPr>
          <w:sz w:val="22"/>
          <w:szCs w:val="22"/>
        </w:rPr>
        <w:t xml:space="preserve"> pour la mise en œuvre de la future UHR.</w:t>
      </w:r>
    </w:p>
    <w:p w:rsidR="007165EA" w:rsidRDefault="007165EA" w:rsidP="008E1A3D">
      <w:pPr>
        <w:pStyle w:val="Default"/>
        <w:jc w:val="both"/>
        <w:rPr>
          <w:color w:val="auto"/>
          <w:sz w:val="22"/>
          <w:szCs w:val="22"/>
        </w:rPr>
      </w:pPr>
    </w:p>
    <w:p w:rsidR="00F53195" w:rsidRDefault="000500D7" w:rsidP="000500D7">
      <w:pPr>
        <w:pStyle w:val="Titre3"/>
      </w:pPr>
      <w:bookmarkStart w:id="7" w:name="_Toc474763564"/>
      <w:r>
        <w:t>1.3</w:t>
      </w:r>
      <w:r w:rsidR="00F53195">
        <w:t>.3.</w:t>
      </w:r>
      <w:r w:rsidR="00F53195">
        <w:tab/>
      </w:r>
      <w:r w:rsidR="00F53195" w:rsidRPr="00F53195">
        <w:t xml:space="preserve">Modalités </w:t>
      </w:r>
      <w:r w:rsidR="00781B92">
        <w:t xml:space="preserve">de fonctionnement </w:t>
      </w:r>
      <w:r w:rsidR="007222C6">
        <w:t>et d’organisation</w:t>
      </w:r>
      <w:bookmarkEnd w:id="7"/>
    </w:p>
    <w:p w:rsidR="00F53195" w:rsidRDefault="007222C6" w:rsidP="00FC71F7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L</w:t>
      </w:r>
      <w:r>
        <w:rPr>
          <w:color w:val="auto"/>
          <w:sz w:val="22"/>
          <w:szCs w:val="22"/>
        </w:rPr>
        <w:t>ieu</w:t>
      </w:r>
      <w:r w:rsidRPr="00FC71F7">
        <w:rPr>
          <w:color w:val="auto"/>
          <w:sz w:val="22"/>
          <w:szCs w:val="22"/>
        </w:rPr>
        <w:t xml:space="preserve"> d’hébergement,</w:t>
      </w:r>
      <w:r>
        <w:rPr>
          <w:color w:val="auto"/>
          <w:sz w:val="22"/>
          <w:szCs w:val="22"/>
        </w:rPr>
        <w:t xml:space="preserve"> l’UHR propose, </w:t>
      </w:r>
      <w:r w:rsidRPr="00FC71F7">
        <w:rPr>
          <w:color w:val="auto"/>
          <w:sz w:val="22"/>
          <w:szCs w:val="22"/>
        </w:rPr>
        <w:t>dans le cadre d’un accueil de jour et de nuit, des soins et des activités adaptées pour des personnes</w:t>
      </w:r>
      <w:r>
        <w:rPr>
          <w:color w:val="auto"/>
          <w:sz w:val="22"/>
          <w:szCs w:val="22"/>
        </w:rPr>
        <w:t xml:space="preserve"> souffrant de maladies neurodégénératives et </w:t>
      </w:r>
      <w:r w:rsidRPr="00FC71F7">
        <w:rPr>
          <w:color w:val="auto"/>
          <w:sz w:val="22"/>
          <w:szCs w:val="22"/>
        </w:rPr>
        <w:t>présentant des troubles du comportement sévère</w:t>
      </w:r>
      <w:r>
        <w:rPr>
          <w:color w:val="auto"/>
          <w:sz w:val="22"/>
          <w:szCs w:val="22"/>
        </w:rPr>
        <w:t xml:space="preserve">s. </w:t>
      </w:r>
      <w:r>
        <w:rPr>
          <w:sz w:val="22"/>
          <w:szCs w:val="22"/>
        </w:rPr>
        <w:t>Le but de l’accompagnement mis</w:t>
      </w:r>
      <w:r w:rsidR="000E6F5E">
        <w:rPr>
          <w:sz w:val="22"/>
          <w:szCs w:val="22"/>
        </w:rPr>
        <w:t xml:space="preserve"> en œuvre </w:t>
      </w:r>
      <w:r w:rsidR="00FC71F7" w:rsidRPr="00FC71F7">
        <w:rPr>
          <w:sz w:val="22"/>
          <w:szCs w:val="22"/>
        </w:rPr>
        <w:t>est d’améliorer les troubles de ces patients</w:t>
      </w:r>
      <w:r>
        <w:rPr>
          <w:sz w:val="22"/>
          <w:szCs w:val="22"/>
        </w:rPr>
        <w:t>, en limitant le recours aux psychotropes, reconnus par différentes études comme peu efficaces en l’espèce.</w:t>
      </w:r>
    </w:p>
    <w:p w:rsidR="007165EA" w:rsidRDefault="007165EA" w:rsidP="008E1A3D">
      <w:pPr>
        <w:pStyle w:val="Default"/>
        <w:jc w:val="both"/>
        <w:rPr>
          <w:color w:val="auto"/>
          <w:sz w:val="22"/>
          <w:szCs w:val="22"/>
        </w:rPr>
      </w:pPr>
    </w:p>
    <w:p w:rsidR="00B774AE" w:rsidRDefault="007222C6" w:rsidP="00FC71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FC71F7" w:rsidRPr="00FC71F7">
        <w:rPr>
          <w:color w:val="auto"/>
          <w:sz w:val="22"/>
          <w:szCs w:val="22"/>
        </w:rPr>
        <w:t xml:space="preserve">es activités </w:t>
      </w:r>
      <w:r>
        <w:rPr>
          <w:color w:val="auto"/>
          <w:sz w:val="22"/>
          <w:szCs w:val="22"/>
        </w:rPr>
        <w:t>organisées</w:t>
      </w:r>
      <w:r w:rsidR="00FC71F7" w:rsidRPr="00FC71F7">
        <w:rPr>
          <w:color w:val="auto"/>
          <w:sz w:val="22"/>
          <w:szCs w:val="22"/>
        </w:rPr>
        <w:t xml:space="preserve"> peuvent être</w:t>
      </w:r>
      <w:r w:rsidR="00B774AE">
        <w:rPr>
          <w:color w:val="auto"/>
          <w:sz w:val="22"/>
          <w:szCs w:val="22"/>
        </w:rPr>
        <w:t xml:space="preserve"> </w:t>
      </w:r>
      <w:r w:rsidR="00FC71F7" w:rsidRPr="00FC71F7">
        <w:rPr>
          <w:color w:val="auto"/>
          <w:sz w:val="22"/>
          <w:szCs w:val="22"/>
        </w:rPr>
        <w:t>individuelles</w:t>
      </w:r>
      <w:r w:rsidR="00B774AE">
        <w:rPr>
          <w:color w:val="auto"/>
          <w:sz w:val="22"/>
          <w:szCs w:val="22"/>
        </w:rPr>
        <w:t xml:space="preserve"> ou </w:t>
      </w:r>
      <w:r w:rsidR="00FC71F7" w:rsidRPr="00FC71F7">
        <w:rPr>
          <w:color w:val="auto"/>
          <w:sz w:val="22"/>
          <w:szCs w:val="22"/>
        </w:rPr>
        <w:t>collectives. Les programmes d’activités sont élaborés par un ergothérapeute et/ou un</w:t>
      </w:r>
      <w:r w:rsidR="00B774AE">
        <w:rPr>
          <w:color w:val="auto"/>
          <w:sz w:val="22"/>
          <w:szCs w:val="22"/>
        </w:rPr>
        <w:t xml:space="preserve"> </w:t>
      </w:r>
      <w:r w:rsidR="00FC71F7" w:rsidRPr="00FC71F7">
        <w:rPr>
          <w:color w:val="auto"/>
          <w:sz w:val="22"/>
          <w:szCs w:val="22"/>
        </w:rPr>
        <w:t>psychomotricien sur prescription médicale et en lien avec le médecin coordonnateur, le psychologue</w:t>
      </w:r>
      <w:r w:rsidR="00B774AE">
        <w:rPr>
          <w:color w:val="auto"/>
          <w:sz w:val="22"/>
          <w:szCs w:val="22"/>
        </w:rPr>
        <w:t xml:space="preserve"> </w:t>
      </w:r>
      <w:r w:rsidR="00FC71F7" w:rsidRPr="00FC71F7">
        <w:rPr>
          <w:color w:val="auto"/>
          <w:sz w:val="22"/>
          <w:szCs w:val="22"/>
        </w:rPr>
        <w:t xml:space="preserve">et l’équipe de </w:t>
      </w:r>
      <w:r w:rsidR="00B774AE">
        <w:rPr>
          <w:color w:val="auto"/>
          <w:sz w:val="22"/>
          <w:szCs w:val="22"/>
        </w:rPr>
        <w:t>l’EHPAD.</w:t>
      </w:r>
    </w:p>
    <w:p w:rsidR="00B774AE" w:rsidRDefault="00B774AE" w:rsidP="00FC71F7">
      <w:pPr>
        <w:pStyle w:val="Default"/>
        <w:jc w:val="both"/>
        <w:rPr>
          <w:color w:val="auto"/>
          <w:sz w:val="22"/>
          <w:szCs w:val="22"/>
        </w:rPr>
      </w:pPr>
    </w:p>
    <w:p w:rsidR="00FC71F7" w:rsidRDefault="00B774AE" w:rsidP="00B774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Pour l’ensemble des modalités de fonctionnement et d’organisation de l’UH</w:t>
      </w:r>
      <w:r w:rsidR="00144802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, les promoteurs doivent se référer à </w:t>
      </w:r>
      <w:r w:rsidRPr="00B774AE">
        <w:rPr>
          <w:color w:val="auto"/>
          <w:sz w:val="22"/>
          <w:szCs w:val="22"/>
          <w:u w:val="single"/>
        </w:rPr>
        <w:t>l’annexe VIII</w:t>
      </w:r>
      <w:r w:rsidR="000E6F5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r w:rsidRPr="00360136">
        <w:rPr>
          <w:b/>
          <w:color w:val="auto"/>
          <w:sz w:val="22"/>
          <w:szCs w:val="22"/>
        </w:rPr>
        <w:t>cahier des charges</w:t>
      </w:r>
      <w:r>
        <w:rPr>
          <w:color w:val="auto"/>
          <w:sz w:val="22"/>
          <w:szCs w:val="22"/>
        </w:rPr>
        <w:t xml:space="preserve"> PASA et </w:t>
      </w:r>
      <w:r w:rsidRPr="00360136">
        <w:rPr>
          <w:b/>
          <w:color w:val="auto"/>
          <w:sz w:val="22"/>
          <w:szCs w:val="22"/>
        </w:rPr>
        <w:t>UHR</w:t>
      </w:r>
      <w:r>
        <w:rPr>
          <w:color w:val="auto"/>
          <w:sz w:val="22"/>
          <w:szCs w:val="22"/>
        </w:rPr>
        <w:t xml:space="preserve">) </w:t>
      </w:r>
      <w:r w:rsidRPr="00B774AE">
        <w:rPr>
          <w:color w:val="auto"/>
          <w:sz w:val="22"/>
          <w:szCs w:val="22"/>
          <w:u w:val="single"/>
        </w:rPr>
        <w:t>de la circulaire</w:t>
      </w:r>
      <w:r w:rsidRPr="00B774AE">
        <w:rPr>
          <w:color w:val="auto"/>
          <w:sz w:val="22"/>
          <w:szCs w:val="22"/>
        </w:rPr>
        <w:t xml:space="preserve"> DGAS/DSS/DHOS n°2009-195 </w:t>
      </w:r>
      <w:r w:rsidRPr="00B774AE">
        <w:rPr>
          <w:color w:val="auto"/>
          <w:sz w:val="22"/>
          <w:szCs w:val="22"/>
          <w:u w:val="single"/>
        </w:rPr>
        <w:t>du 6 juillet 2009</w:t>
      </w:r>
      <w:r w:rsidRPr="00B774AE">
        <w:rPr>
          <w:color w:val="auto"/>
          <w:sz w:val="22"/>
          <w:szCs w:val="22"/>
        </w:rPr>
        <w:t xml:space="preserve"> relative à la mise en œuvre du volet médico-social du plan </w:t>
      </w:r>
      <w:r>
        <w:rPr>
          <w:color w:val="auto"/>
          <w:sz w:val="22"/>
          <w:szCs w:val="22"/>
        </w:rPr>
        <w:t>« </w:t>
      </w:r>
      <w:r w:rsidRPr="00B774AE">
        <w:rPr>
          <w:color w:val="auto"/>
          <w:sz w:val="22"/>
          <w:szCs w:val="22"/>
        </w:rPr>
        <w:t>Alzheimer et maladies apparentées</w:t>
      </w:r>
      <w:r>
        <w:rPr>
          <w:color w:val="auto"/>
          <w:sz w:val="22"/>
          <w:szCs w:val="22"/>
        </w:rPr>
        <w:t xml:space="preserve"> 2008-2012 »</w:t>
      </w:r>
      <w:r w:rsidR="00781B92">
        <w:rPr>
          <w:color w:val="auto"/>
          <w:sz w:val="22"/>
          <w:szCs w:val="22"/>
        </w:rPr>
        <w:t>. En effet, celle</w:t>
      </w:r>
      <w:r w:rsidR="00144802">
        <w:rPr>
          <w:color w:val="auto"/>
          <w:sz w:val="22"/>
          <w:szCs w:val="22"/>
        </w:rPr>
        <w:t>-ci</w:t>
      </w:r>
      <w:r w:rsidR="00781B92">
        <w:rPr>
          <w:color w:val="auto"/>
          <w:sz w:val="22"/>
          <w:szCs w:val="22"/>
        </w:rPr>
        <w:t xml:space="preserve"> définit de façon détaillée :</w:t>
      </w:r>
    </w:p>
    <w:p w:rsidR="00781B92" w:rsidRPr="00781B92" w:rsidRDefault="00781B92" w:rsidP="00781B92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781B92">
        <w:rPr>
          <w:color w:val="auto"/>
          <w:sz w:val="22"/>
          <w:szCs w:val="22"/>
        </w:rPr>
        <w:t>le public cible, les critères et les modalités d’</w:t>
      </w:r>
      <w:r>
        <w:rPr>
          <w:color w:val="auto"/>
          <w:sz w:val="22"/>
          <w:szCs w:val="22"/>
        </w:rPr>
        <w:t>admission ainsi que les conditions de réorientation des résidents,</w:t>
      </w:r>
    </w:p>
    <w:p w:rsidR="00781B92" w:rsidRDefault="00781B92" w:rsidP="00781B92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projet de l’UHR (l</w:t>
      </w:r>
      <w:r w:rsidRPr="00781B92">
        <w:rPr>
          <w:color w:val="auto"/>
          <w:sz w:val="22"/>
          <w:szCs w:val="22"/>
        </w:rPr>
        <w:t>’accompagnement à effet thérapeutique</w:t>
      </w:r>
      <w:r>
        <w:rPr>
          <w:color w:val="auto"/>
          <w:sz w:val="22"/>
          <w:szCs w:val="22"/>
        </w:rPr>
        <w:t>, l</w:t>
      </w:r>
      <w:r w:rsidRPr="00781B92">
        <w:rPr>
          <w:color w:val="auto"/>
          <w:sz w:val="22"/>
          <w:szCs w:val="22"/>
        </w:rPr>
        <w:t>es modalités d’</w:t>
      </w:r>
      <w:r>
        <w:rPr>
          <w:color w:val="auto"/>
          <w:sz w:val="22"/>
          <w:szCs w:val="22"/>
        </w:rPr>
        <w:t xml:space="preserve">un </w:t>
      </w:r>
      <w:r w:rsidRPr="00781B92">
        <w:rPr>
          <w:color w:val="auto"/>
          <w:sz w:val="22"/>
          <w:szCs w:val="22"/>
        </w:rPr>
        <w:t xml:space="preserve">accompagnement </w:t>
      </w:r>
      <w:r>
        <w:rPr>
          <w:color w:val="auto"/>
          <w:sz w:val="22"/>
          <w:szCs w:val="22"/>
        </w:rPr>
        <w:t xml:space="preserve">de vie </w:t>
      </w:r>
      <w:r w:rsidRPr="00781B92">
        <w:rPr>
          <w:color w:val="auto"/>
          <w:sz w:val="22"/>
          <w:szCs w:val="22"/>
        </w:rPr>
        <w:t xml:space="preserve">et de soins </w:t>
      </w:r>
      <w:r>
        <w:rPr>
          <w:color w:val="auto"/>
          <w:sz w:val="22"/>
          <w:szCs w:val="22"/>
        </w:rPr>
        <w:t>personnalisé, etc.)</w:t>
      </w:r>
    </w:p>
    <w:p w:rsidR="00781B92" w:rsidRDefault="00781B92" w:rsidP="00781B92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781B92">
        <w:rPr>
          <w:color w:val="auto"/>
          <w:sz w:val="22"/>
          <w:szCs w:val="22"/>
        </w:rPr>
        <w:t>e personnel soignant intervenant dans l’unité</w:t>
      </w:r>
      <w:r>
        <w:rPr>
          <w:color w:val="auto"/>
          <w:sz w:val="22"/>
          <w:szCs w:val="22"/>
        </w:rPr>
        <w:t xml:space="preserve"> (composition et qualification de l’équipe, </w:t>
      </w:r>
      <w:r w:rsidR="00144802">
        <w:rPr>
          <w:color w:val="auto"/>
          <w:sz w:val="22"/>
          <w:szCs w:val="22"/>
        </w:rPr>
        <w:t xml:space="preserve">plan de </w:t>
      </w:r>
      <w:r>
        <w:rPr>
          <w:color w:val="auto"/>
          <w:sz w:val="22"/>
          <w:szCs w:val="22"/>
        </w:rPr>
        <w:t>formation des personnels)</w:t>
      </w:r>
    </w:p>
    <w:p w:rsidR="00781B92" w:rsidRDefault="00781B92" w:rsidP="00781B92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781B92">
        <w:rPr>
          <w:color w:val="auto"/>
          <w:sz w:val="22"/>
          <w:szCs w:val="22"/>
        </w:rPr>
        <w:t>a coordination des différents services</w:t>
      </w:r>
      <w:r>
        <w:rPr>
          <w:color w:val="auto"/>
          <w:sz w:val="22"/>
          <w:szCs w:val="22"/>
        </w:rPr>
        <w:t>,</w:t>
      </w:r>
    </w:p>
    <w:p w:rsidR="00781B92" w:rsidRPr="00FC71F7" w:rsidRDefault="00781B92" w:rsidP="00781B92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l’environnement architectural.</w:t>
      </w:r>
    </w:p>
    <w:p w:rsidR="00FC71F7" w:rsidRDefault="00FC71F7" w:rsidP="008E1A3D">
      <w:pPr>
        <w:pStyle w:val="Default"/>
        <w:jc w:val="both"/>
        <w:rPr>
          <w:color w:val="auto"/>
          <w:sz w:val="22"/>
          <w:szCs w:val="22"/>
        </w:rPr>
      </w:pPr>
    </w:p>
    <w:p w:rsidR="000500D7" w:rsidRPr="000500D7" w:rsidRDefault="000500D7" w:rsidP="000500D7">
      <w:pPr>
        <w:pStyle w:val="Titre3"/>
      </w:pPr>
      <w:bookmarkStart w:id="8" w:name="_Toc474763565"/>
      <w:r w:rsidRPr="000500D7">
        <w:t>1.</w:t>
      </w:r>
      <w:r w:rsidR="005E4471">
        <w:t>3.4.</w:t>
      </w:r>
      <w:r w:rsidR="005E4471">
        <w:tab/>
      </w:r>
      <w:r w:rsidRPr="000500D7">
        <w:t>Modalités de financement</w:t>
      </w:r>
      <w:bookmarkEnd w:id="8"/>
    </w:p>
    <w:p w:rsidR="00FC71F7" w:rsidRDefault="007C2899" w:rsidP="00FC71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14 places à créer seront financées par </w:t>
      </w:r>
      <w:r w:rsidRPr="00144802">
        <w:rPr>
          <w:b/>
          <w:color w:val="auto"/>
          <w:sz w:val="22"/>
          <w:szCs w:val="22"/>
        </w:rPr>
        <w:t>mesures nouvelles à hauteur de 240 000 euros</w:t>
      </w:r>
      <w:r>
        <w:rPr>
          <w:color w:val="auto"/>
          <w:sz w:val="22"/>
          <w:szCs w:val="22"/>
        </w:rPr>
        <w:t xml:space="preserve"> (deux cent quarante mille euros)</w:t>
      </w:r>
      <w:r w:rsidR="008F16CC">
        <w:rPr>
          <w:color w:val="auto"/>
          <w:sz w:val="22"/>
          <w:szCs w:val="22"/>
        </w:rPr>
        <w:t xml:space="preserve"> maximum.</w:t>
      </w:r>
    </w:p>
    <w:p w:rsidR="00FC71F7" w:rsidRDefault="00FC71F7" w:rsidP="00FC71F7">
      <w:pPr>
        <w:pStyle w:val="Default"/>
        <w:jc w:val="both"/>
        <w:rPr>
          <w:color w:val="auto"/>
          <w:sz w:val="22"/>
          <w:szCs w:val="22"/>
        </w:rPr>
      </w:pPr>
    </w:p>
    <w:p w:rsidR="008C1BFC" w:rsidRPr="008C1BFC" w:rsidRDefault="000500D7" w:rsidP="006E1228">
      <w:pPr>
        <w:pStyle w:val="Titre1"/>
      </w:pPr>
      <w:bookmarkStart w:id="9" w:name="_Toc474763566"/>
      <w:r>
        <w:t>2</w:t>
      </w:r>
      <w:r w:rsidR="00000DE3">
        <w:t>.</w:t>
      </w:r>
      <w:r w:rsidR="00000DE3">
        <w:tab/>
      </w:r>
      <w:r w:rsidR="004605A7" w:rsidRPr="004605A7">
        <w:t>Critères de sélection</w:t>
      </w:r>
      <w:r w:rsidR="00144802">
        <w:t xml:space="preserve"> et d’évaluation des projets</w:t>
      </w:r>
      <w:bookmarkEnd w:id="9"/>
    </w:p>
    <w:p w:rsidR="004605A7" w:rsidRPr="004605A7" w:rsidRDefault="009E4C82" w:rsidP="009E4C82">
      <w:pPr>
        <w:pStyle w:val="Titre2"/>
      </w:pPr>
      <w:bookmarkStart w:id="10" w:name="_Toc474763567"/>
      <w:r>
        <w:t>2.1.</w:t>
      </w:r>
      <w:r>
        <w:tab/>
      </w:r>
      <w:r w:rsidR="004605A7" w:rsidRPr="004605A7">
        <w:t>Critères de sélection</w:t>
      </w:r>
      <w:bookmarkEnd w:id="10"/>
      <w:r w:rsidR="004605A7" w:rsidRPr="004605A7">
        <w:t xml:space="preserve"> </w:t>
      </w:r>
    </w:p>
    <w:p w:rsidR="004605A7" w:rsidRPr="004605A7" w:rsidRDefault="004605A7" w:rsidP="009E4C82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>Les conditions à remplir pour être éligible à l’appel à candidatures sont :</w:t>
      </w:r>
    </w:p>
    <w:p w:rsidR="004605A7" w:rsidRPr="004605A7" w:rsidRDefault="009E4C82" w:rsidP="009E4C8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</w:r>
      <w:r w:rsidR="004605A7" w:rsidRPr="004605A7">
        <w:rPr>
          <w:color w:val="auto"/>
          <w:sz w:val="22"/>
          <w:szCs w:val="22"/>
        </w:rPr>
        <w:t>des conditions de forme : dossier complet</w:t>
      </w:r>
      <w:r>
        <w:rPr>
          <w:color w:val="auto"/>
          <w:sz w:val="22"/>
          <w:szCs w:val="22"/>
        </w:rPr>
        <w:t xml:space="preserve"> (2 versions papier + 1 version électronique</w:t>
      </w:r>
      <w:r w:rsidR="004605A7" w:rsidRPr="004605A7">
        <w:rPr>
          <w:color w:val="auto"/>
          <w:sz w:val="22"/>
          <w:szCs w:val="22"/>
        </w:rPr>
        <w:t>), comprenant l’ensemble des pièces à fournir,</w:t>
      </w:r>
    </w:p>
    <w:p w:rsidR="004605A7" w:rsidRPr="004605A7" w:rsidRDefault="009E4C82" w:rsidP="009E4C8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>des conditions de fond</w:t>
      </w:r>
      <w:r w:rsidR="004605A7" w:rsidRPr="004605A7">
        <w:rPr>
          <w:color w:val="auto"/>
          <w:sz w:val="22"/>
          <w:szCs w:val="22"/>
        </w:rPr>
        <w:t xml:space="preserve"> : respect du </w:t>
      </w:r>
      <w:r w:rsidR="009D48C1">
        <w:rPr>
          <w:color w:val="auto"/>
          <w:sz w:val="22"/>
          <w:szCs w:val="22"/>
        </w:rPr>
        <w:t xml:space="preserve">présent </w:t>
      </w:r>
      <w:r w:rsidR="004605A7" w:rsidRPr="004605A7">
        <w:rPr>
          <w:color w:val="auto"/>
          <w:sz w:val="22"/>
          <w:szCs w:val="22"/>
        </w:rPr>
        <w:t>cah</w:t>
      </w:r>
      <w:r w:rsidR="009D48C1">
        <w:rPr>
          <w:color w:val="auto"/>
          <w:sz w:val="22"/>
          <w:szCs w:val="22"/>
        </w:rPr>
        <w:t>ier des charges.</w:t>
      </w:r>
    </w:p>
    <w:p w:rsidR="009E4C82" w:rsidRDefault="009E4C82" w:rsidP="009E4C82">
      <w:pPr>
        <w:pStyle w:val="Default"/>
        <w:jc w:val="both"/>
        <w:rPr>
          <w:color w:val="auto"/>
          <w:sz w:val="22"/>
          <w:szCs w:val="22"/>
        </w:rPr>
      </w:pPr>
    </w:p>
    <w:p w:rsidR="00144802" w:rsidRPr="004605A7" w:rsidRDefault="004605A7" w:rsidP="00144802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>Les projets seront sélectionnés en fonction</w:t>
      </w:r>
      <w:r w:rsidR="00144802">
        <w:rPr>
          <w:color w:val="auto"/>
          <w:sz w:val="22"/>
          <w:szCs w:val="22"/>
        </w:rPr>
        <w:t xml:space="preserve"> de la grille d’analyse définie à l’</w:t>
      </w:r>
      <w:r w:rsidR="00144802" w:rsidRPr="00A25F0C">
        <w:rPr>
          <w:color w:val="auto"/>
          <w:sz w:val="22"/>
          <w:szCs w:val="22"/>
          <w:u w:val="single"/>
        </w:rPr>
        <w:t>annexe IX</w:t>
      </w:r>
      <w:r w:rsidR="00144802">
        <w:rPr>
          <w:color w:val="auto"/>
          <w:sz w:val="22"/>
          <w:szCs w:val="22"/>
        </w:rPr>
        <w:t xml:space="preserve"> (Grille de sélection des dossiers de candidature et des visites sur site des UHR) </w:t>
      </w:r>
      <w:r w:rsidR="00144802" w:rsidRPr="00B774AE">
        <w:rPr>
          <w:color w:val="auto"/>
          <w:sz w:val="22"/>
          <w:szCs w:val="22"/>
          <w:u w:val="single"/>
        </w:rPr>
        <w:t>de la circulaire</w:t>
      </w:r>
      <w:r w:rsidR="00144802" w:rsidRPr="00B774AE">
        <w:rPr>
          <w:color w:val="auto"/>
          <w:sz w:val="22"/>
          <w:szCs w:val="22"/>
        </w:rPr>
        <w:t xml:space="preserve"> DGAS/DSS/DHOS n°2009-195 </w:t>
      </w:r>
      <w:r w:rsidR="00144802" w:rsidRPr="00B774AE">
        <w:rPr>
          <w:color w:val="auto"/>
          <w:sz w:val="22"/>
          <w:szCs w:val="22"/>
          <w:u w:val="single"/>
        </w:rPr>
        <w:t>du 6 juillet 2009</w:t>
      </w:r>
      <w:r w:rsidR="00144802" w:rsidRPr="00B774AE">
        <w:rPr>
          <w:color w:val="auto"/>
          <w:sz w:val="22"/>
          <w:szCs w:val="22"/>
        </w:rPr>
        <w:t xml:space="preserve"> relative à la mise en œuvre du volet médico-social du plan </w:t>
      </w:r>
      <w:r w:rsidR="00144802">
        <w:rPr>
          <w:color w:val="auto"/>
          <w:sz w:val="22"/>
          <w:szCs w:val="22"/>
        </w:rPr>
        <w:t>« </w:t>
      </w:r>
      <w:r w:rsidR="00144802" w:rsidRPr="00B774AE">
        <w:rPr>
          <w:color w:val="auto"/>
          <w:sz w:val="22"/>
          <w:szCs w:val="22"/>
        </w:rPr>
        <w:t>Alzheimer et maladies apparentées</w:t>
      </w:r>
      <w:r w:rsidR="00144802">
        <w:rPr>
          <w:color w:val="auto"/>
          <w:sz w:val="22"/>
          <w:szCs w:val="22"/>
        </w:rPr>
        <w:t xml:space="preserve"> 2008-2012 »</w:t>
      </w:r>
      <w:r w:rsidR="00EC3A63">
        <w:rPr>
          <w:color w:val="auto"/>
          <w:sz w:val="22"/>
          <w:szCs w:val="22"/>
        </w:rPr>
        <w:t>.</w:t>
      </w:r>
    </w:p>
    <w:p w:rsidR="00144802" w:rsidRDefault="00144802" w:rsidP="009E4C82">
      <w:pPr>
        <w:pStyle w:val="Default"/>
        <w:jc w:val="both"/>
        <w:rPr>
          <w:color w:val="auto"/>
          <w:sz w:val="22"/>
          <w:szCs w:val="22"/>
        </w:rPr>
      </w:pPr>
    </w:p>
    <w:p w:rsidR="00D97675" w:rsidRDefault="004605A7" w:rsidP="009E4C82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 xml:space="preserve">Les projets devront répondre impérativement au cahier des charges </w:t>
      </w:r>
      <w:r w:rsidR="00EC3A63">
        <w:rPr>
          <w:color w:val="auto"/>
          <w:sz w:val="22"/>
          <w:szCs w:val="22"/>
        </w:rPr>
        <w:t>UHR</w:t>
      </w:r>
      <w:r w:rsidRPr="004605A7">
        <w:rPr>
          <w:color w:val="auto"/>
          <w:sz w:val="22"/>
          <w:szCs w:val="22"/>
        </w:rPr>
        <w:t xml:space="preserve"> téléchargeable</w:t>
      </w:r>
      <w:r w:rsidR="00107243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 xml:space="preserve">sur le site internet de l’ARS </w:t>
      </w:r>
      <w:r w:rsidR="009E4C82">
        <w:rPr>
          <w:color w:val="auto"/>
          <w:sz w:val="22"/>
          <w:szCs w:val="22"/>
        </w:rPr>
        <w:t xml:space="preserve">Océan Indien </w:t>
      </w:r>
      <w:hyperlink r:id="rId10" w:history="1">
        <w:r w:rsidR="009E4C82" w:rsidRPr="00BD2F03">
          <w:rPr>
            <w:rStyle w:val="Lienhypertexte"/>
            <w:sz w:val="22"/>
            <w:szCs w:val="22"/>
          </w:rPr>
          <w:t>www.ars.ocean-indien.sante.fr</w:t>
        </w:r>
      </w:hyperlink>
      <w:r w:rsidR="009E4C82">
        <w:rPr>
          <w:color w:val="auto"/>
          <w:sz w:val="22"/>
          <w:szCs w:val="22"/>
        </w:rPr>
        <w:t xml:space="preserve">, </w:t>
      </w:r>
      <w:r w:rsidRPr="004605A7">
        <w:rPr>
          <w:color w:val="auto"/>
          <w:sz w:val="22"/>
          <w:szCs w:val="22"/>
        </w:rPr>
        <w:t xml:space="preserve">à la rubrique </w:t>
      </w:r>
      <w:r w:rsidR="009E4C82">
        <w:rPr>
          <w:color w:val="auto"/>
          <w:sz w:val="22"/>
          <w:szCs w:val="22"/>
        </w:rPr>
        <w:t>« </w:t>
      </w:r>
      <w:r w:rsidRPr="004605A7">
        <w:rPr>
          <w:color w:val="auto"/>
          <w:sz w:val="22"/>
          <w:szCs w:val="22"/>
        </w:rPr>
        <w:t xml:space="preserve">appels à </w:t>
      </w:r>
      <w:r w:rsidR="009E4C82">
        <w:rPr>
          <w:color w:val="auto"/>
          <w:sz w:val="22"/>
          <w:szCs w:val="22"/>
        </w:rPr>
        <w:t>candidatures</w:t>
      </w:r>
      <w:r w:rsidRPr="004605A7">
        <w:rPr>
          <w:color w:val="auto"/>
          <w:sz w:val="22"/>
          <w:szCs w:val="22"/>
        </w:rPr>
        <w:t xml:space="preserve"> ».</w:t>
      </w:r>
    </w:p>
    <w:p w:rsidR="004605A7" w:rsidRDefault="004605A7" w:rsidP="004605A7">
      <w:pPr>
        <w:pStyle w:val="Default"/>
        <w:jc w:val="both"/>
        <w:rPr>
          <w:color w:val="auto"/>
          <w:sz w:val="22"/>
          <w:szCs w:val="22"/>
        </w:rPr>
      </w:pPr>
    </w:p>
    <w:p w:rsidR="004605A7" w:rsidRPr="009E4C82" w:rsidRDefault="009E4C82" w:rsidP="009E4C82">
      <w:pPr>
        <w:pStyle w:val="Titre2"/>
      </w:pPr>
      <w:bookmarkStart w:id="11" w:name="_Toc474763568"/>
      <w:r>
        <w:t>2.2.</w:t>
      </w:r>
      <w:r>
        <w:tab/>
      </w:r>
      <w:r w:rsidR="004605A7" w:rsidRPr="009E4C82">
        <w:t xml:space="preserve">Modalités d’évaluation </w:t>
      </w:r>
      <w:r>
        <w:t>des</w:t>
      </w:r>
      <w:r w:rsidR="004605A7" w:rsidRPr="009E4C82">
        <w:t xml:space="preserve"> projet</w:t>
      </w:r>
      <w:r>
        <w:t>s</w:t>
      </w:r>
      <w:bookmarkEnd w:id="11"/>
    </w:p>
    <w:p w:rsidR="004605A7" w:rsidRPr="003C0E9C" w:rsidRDefault="004605A7" w:rsidP="004605A7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>Les projets dont le dossier aura été déclaré complet feront l’objet d’un examen, pour avis,</w:t>
      </w:r>
      <w:r w:rsidR="009E4C82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>par une commission de sélection. Elle sera composée de représentants de l’ARS</w:t>
      </w:r>
      <w:r w:rsidRPr="003C0E9C">
        <w:rPr>
          <w:color w:val="auto"/>
          <w:sz w:val="22"/>
          <w:szCs w:val="22"/>
        </w:rPr>
        <w:t>, du Conseil</w:t>
      </w:r>
    </w:p>
    <w:p w:rsidR="00A25F0C" w:rsidRDefault="009E4C82" w:rsidP="004605A7">
      <w:pPr>
        <w:pStyle w:val="Default"/>
        <w:jc w:val="both"/>
        <w:rPr>
          <w:color w:val="auto"/>
          <w:sz w:val="22"/>
          <w:szCs w:val="22"/>
        </w:rPr>
      </w:pPr>
      <w:r w:rsidRPr="003C0E9C">
        <w:rPr>
          <w:color w:val="auto"/>
          <w:sz w:val="22"/>
          <w:szCs w:val="22"/>
        </w:rPr>
        <w:t>D</w:t>
      </w:r>
      <w:r w:rsidR="004605A7" w:rsidRPr="003C0E9C">
        <w:rPr>
          <w:color w:val="auto"/>
          <w:sz w:val="22"/>
          <w:szCs w:val="22"/>
        </w:rPr>
        <w:t>épartemental</w:t>
      </w:r>
      <w:r w:rsidRPr="003C0E9C">
        <w:rPr>
          <w:color w:val="auto"/>
          <w:sz w:val="22"/>
          <w:szCs w:val="22"/>
        </w:rPr>
        <w:t xml:space="preserve"> et de personnalités qualifiées.</w:t>
      </w:r>
      <w:r w:rsidR="006241C4">
        <w:rPr>
          <w:color w:val="auto"/>
          <w:sz w:val="22"/>
          <w:szCs w:val="22"/>
        </w:rPr>
        <w:t xml:space="preserve"> </w:t>
      </w:r>
    </w:p>
    <w:p w:rsidR="004605A7" w:rsidRPr="004605A7" w:rsidRDefault="004605A7" w:rsidP="004605A7">
      <w:pPr>
        <w:pStyle w:val="Default"/>
        <w:jc w:val="both"/>
        <w:rPr>
          <w:color w:val="auto"/>
          <w:sz w:val="22"/>
          <w:szCs w:val="22"/>
        </w:rPr>
      </w:pPr>
      <w:r w:rsidRPr="004605A7">
        <w:rPr>
          <w:color w:val="auto"/>
          <w:sz w:val="22"/>
          <w:szCs w:val="22"/>
        </w:rPr>
        <w:t xml:space="preserve">La décision finale revient au Directeur général de l’ARS </w:t>
      </w:r>
      <w:r w:rsidR="009E4C82">
        <w:rPr>
          <w:color w:val="auto"/>
          <w:sz w:val="22"/>
          <w:szCs w:val="22"/>
        </w:rPr>
        <w:t>Océan Indien</w:t>
      </w:r>
      <w:r w:rsidRPr="004605A7">
        <w:rPr>
          <w:color w:val="auto"/>
          <w:sz w:val="22"/>
          <w:szCs w:val="22"/>
        </w:rPr>
        <w:t xml:space="preserve"> qui a compétence pour</w:t>
      </w:r>
      <w:r w:rsidR="009E4C82">
        <w:rPr>
          <w:color w:val="auto"/>
          <w:sz w:val="22"/>
          <w:szCs w:val="22"/>
        </w:rPr>
        <w:t xml:space="preserve"> </w:t>
      </w:r>
      <w:r w:rsidRPr="004605A7">
        <w:rPr>
          <w:color w:val="auto"/>
          <w:sz w:val="22"/>
          <w:szCs w:val="22"/>
        </w:rPr>
        <w:t xml:space="preserve">autoriser les </w:t>
      </w:r>
      <w:r w:rsidR="00A25F0C">
        <w:rPr>
          <w:color w:val="auto"/>
          <w:sz w:val="22"/>
          <w:szCs w:val="22"/>
        </w:rPr>
        <w:t>UHR</w:t>
      </w:r>
      <w:r w:rsidRPr="004605A7">
        <w:rPr>
          <w:color w:val="auto"/>
          <w:sz w:val="22"/>
          <w:szCs w:val="22"/>
        </w:rPr>
        <w:t xml:space="preserve">. </w:t>
      </w:r>
    </w:p>
    <w:p w:rsidR="004605A7" w:rsidRPr="008C1BFC" w:rsidRDefault="004605A7" w:rsidP="004605A7">
      <w:pPr>
        <w:pStyle w:val="Default"/>
        <w:jc w:val="both"/>
        <w:rPr>
          <w:color w:val="auto"/>
          <w:sz w:val="22"/>
          <w:szCs w:val="22"/>
        </w:rPr>
      </w:pPr>
    </w:p>
    <w:p w:rsidR="008C1BFC" w:rsidRPr="008C1BFC" w:rsidRDefault="004605A7" w:rsidP="006E1228">
      <w:pPr>
        <w:pStyle w:val="Titre1"/>
      </w:pPr>
      <w:bookmarkStart w:id="12" w:name="_Toc474763569"/>
      <w:r>
        <w:t>3</w:t>
      </w:r>
      <w:r w:rsidR="00D97675">
        <w:t>.</w:t>
      </w:r>
      <w:r w:rsidR="00D97675">
        <w:tab/>
      </w:r>
      <w:r w:rsidR="00700648">
        <w:t>C</w:t>
      </w:r>
      <w:r w:rsidR="008C1BFC" w:rsidRPr="008C1BFC">
        <w:t xml:space="preserve">alendrier de mise en </w:t>
      </w:r>
      <w:r w:rsidR="00F41843">
        <w:t>œuvre</w:t>
      </w:r>
      <w:r w:rsidR="00700648">
        <w:t xml:space="preserve"> et dossier de candidature</w:t>
      </w:r>
      <w:bookmarkEnd w:id="12"/>
    </w:p>
    <w:p w:rsidR="00700648" w:rsidRDefault="004605A7" w:rsidP="006E1228">
      <w:pPr>
        <w:pStyle w:val="Titre2"/>
      </w:pPr>
      <w:bookmarkStart w:id="13" w:name="_Toc474763570"/>
      <w:r>
        <w:t>3</w:t>
      </w:r>
      <w:r w:rsidR="00700648">
        <w:t>.1.</w:t>
      </w:r>
      <w:r w:rsidR="00700648">
        <w:tab/>
      </w:r>
      <w:r w:rsidR="00232325">
        <w:t>C</w:t>
      </w:r>
      <w:r w:rsidR="00700648">
        <w:t>alendrier</w:t>
      </w:r>
      <w:r w:rsidR="00EF0D1C">
        <w:t xml:space="preserve"> de déploiement </w:t>
      </w:r>
      <w:r w:rsidR="001A720F">
        <w:t>de l’UHR</w:t>
      </w:r>
      <w:bookmarkEnd w:id="13"/>
    </w:p>
    <w:p w:rsidR="00B20980" w:rsidRPr="00B20980" w:rsidRDefault="00B20980" w:rsidP="00B20980">
      <w:pPr>
        <w:spacing w:after="60" w:line="252" w:lineRule="auto"/>
        <w:jc w:val="both"/>
        <w:rPr>
          <w:rFonts w:ascii="Arial Narrow" w:eastAsia="Times New Roman" w:hAnsi="Arial Narrow" w:cs="Times New Roman"/>
          <w:lang w:bidi="en-US"/>
        </w:rPr>
      </w:pPr>
      <w:r w:rsidRPr="00B20980">
        <w:rPr>
          <w:rFonts w:ascii="Arial Narrow" w:eastAsia="Times New Roman" w:hAnsi="Arial Narrow" w:cs="Times New Roman"/>
          <w:lang w:bidi="en-US"/>
        </w:rPr>
        <w:t xml:space="preserve">Date de publication* de l’appel à candidatures : </w:t>
      </w:r>
      <w:r w:rsidRPr="00B20980">
        <w:rPr>
          <w:rFonts w:ascii="Arial Narrow" w:eastAsia="Times New Roman" w:hAnsi="Arial Narrow" w:cs="Times New Roman"/>
          <w:b/>
          <w:lang w:bidi="en-US"/>
        </w:rPr>
        <w:t>31 mars 2017</w:t>
      </w:r>
    </w:p>
    <w:p w:rsidR="00B20980" w:rsidRPr="00B20980" w:rsidRDefault="00B20980" w:rsidP="00B20980">
      <w:pPr>
        <w:spacing w:after="60" w:line="252" w:lineRule="auto"/>
        <w:jc w:val="both"/>
        <w:rPr>
          <w:rFonts w:ascii="Arial Narrow" w:eastAsia="Times New Roman" w:hAnsi="Arial Narrow" w:cs="Times New Roman"/>
          <w:lang w:bidi="en-US"/>
        </w:rPr>
      </w:pPr>
      <w:r w:rsidRPr="00B20980">
        <w:rPr>
          <w:rFonts w:ascii="Arial Narrow" w:eastAsia="Times New Roman" w:hAnsi="Arial Narrow" w:cs="Times New Roman"/>
          <w:lang w:bidi="en-US"/>
        </w:rPr>
        <w:t xml:space="preserve">Date limite de réception ou dépôt des dossiers de candidatures : </w:t>
      </w:r>
      <w:r w:rsidRPr="00B20980">
        <w:rPr>
          <w:rFonts w:ascii="Arial Narrow" w:eastAsia="Times New Roman" w:hAnsi="Arial Narrow" w:cs="Times New Roman"/>
          <w:b/>
          <w:lang w:bidi="en-US"/>
        </w:rPr>
        <w:t>31 mai 2017</w:t>
      </w:r>
    </w:p>
    <w:p w:rsidR="00B20980" w:rsidRPr="00B20980" w:rsidRDefault="00B20980" w:rsidP="00B20980">
      <w:pPr>
        <w:spacing w:after="60" w:line="252" w:lineRule="auto"/>
        <w:jc w:val="both"/>
        <w:rPr>
          <w:rFonts w:ascii="Arial Narrow" w:eastAsia="Times New Roman" w:hAnsi="Arial Narrow" w:cs="Times New Roman"/>
          <w:lang w:bidi="en-US"/>
        </w:rPr>
      </w:pPr>
      <w:r w:rsidRPr="00B20980">
        <w:rPr>
          <w:rFonts w:ascii="Arial Narrow" w:eastAsia="Times New Roman" w:hAnsi="Arial Narrow" w:cs="Times New Roman"/>
          <w:lang w:bidi="en-US"/>
        </w:rPr>
        <w:t xml:space="preserve">Instruction des dossiers et réunion de la commission de sélection consultative : </w:t>
      </w:r>
      <w:r w:rsidRPr="00B20980">
        <w:rPr>
          <w:rFonts w:ascii="Arial Narrow" w:eastAsia="Times New Roman" w:hAnsi="Arial Narrow" w:cs="Times New Roman"/>
          <w:b/>
          <w:lang w:bidi="en-US"/>
        </w:rPr>
        <w:t>Juin / Août 2017</w:t>
      </w:r>
    </w:p>
    <w:p w:rsidR="00B20980" w:rsidRPr="00B20980" w:rsidRDefault="00B20980" w:rsidP="00B20980">
      <w:pPr>
        <w:spacing w:after="60" w:line="252" w:lineRule="auto"/>
        <w:jc w:val="both"/>
        <w:rPr>
          <w:rFonts w:ascii="Arial Narrow" w:eastAsia="Times New Roman" w:hAnsi="Arial Narrow" w:cs="Times New Roman"/>
          <w:b/>
          <w:lang w:bidi="en-US"/>
        </w:rPr>
      </w:pPr>
      <w:r w:rsidRPr="00B20980">
        <w:rPr>
          <w:rFonts w:ascii="Arial Narrow" w:eastAsia="Times New Roman" w:hAnsi="Arial Narrow" w:cs="Times New Roman"/>
          <w:lang w:bidi="en-US"/>
        </w:rPr>
        <w:t xml:space="preserve">Date prévisionnelle de notification de l’autorisation et information aux candidats non retenus : </w:t>
      </w:r>
      <w:r w:rsidRPr="00B20980">
        <w:rPr>
          <w:rFonts w:ascii="Arial Narrow" w:eastAsia="Times New Roman" w:hAnsi="Arial Narrow" w:cs="Times New Roman"/>
          <w:b/>
          <w:lang w:bidi="en-US"/>
        </w:rPr>
        <w:t>fin août 2017</w:t>
      </w:r>
    </w:p>
    <w:p w:rsidR="00B20980" w:rsidRPr="00B20980" w:rsidRDefault="00B20980" w:rsidP="00B20980">
      <w:pPr>
        <w:spacing w:after="60" w:line="252" w:lineRule="auto"/>
        <w:jc w:val="both"/>
        <w:rPr>
          <w:rFonts w:ascii="Arial Narrow" w:eastAsia="Times New Roman" w:hAnsi="Arial Narrow" w:cs="Times New Roman"/>
          <w:b/>
          <w:lang w:bidi="en-US"/>
        </w:rPr>
      </w:pPr>
      <w:r w:rsidRPr="00B20980">
        <w:rPr>
          <w:rFonts w:ascii="Arial Narrow" w:eastAsia="Times New Roman" w:hAnsi="Arial Narrow" w:cs="Times New Roman"/>
          <w:lang w:bidi="en-US"/>
        </w:rPr>
        <w:t xml:space="preserve">Mise en fonctionnement de l’UHR : </w:t>
      </w:r>
      <w:r w:rsidRPr="00B20980">
        <w:rPr>
          <w:rFonts w:ascii="Arial Narrow" w:eastAsia="Times New Roman" w:hAnsi="Arial Narrow" w:cs="Times New Roman"/>
          <w:b/>
          <w:lang w:bidi="en-US"/>
        </w:rPr>
        <w:t>Octobre 2017</w:t>
      </w:r>
    </w:p>
    <w:p w:rsidR="008C1BFC" w:rsidRDefault="008C1BFC" w:rsidP="008219B0">
      <w:pPr>
        <w:pStyle w:val="Default"/>
        <w:jc w:val="both"/>
        <w:rPr>
          <w:color w:val="auto"/>
          <w:sz w:val="22"/>
          <w:szCs w:val="22"/>
        </w:rPr>
      </w:pPr>
    </w:p>
    <w:p w:rsidR="00700648" w:rsidRDefault="004605A7" w:rsidP="006E1228">
      <w:pPr>
        <w:pStyle w:val="Titre2"/>
      </w:pPr>
      <w:bookmarkStart w:id="14" w:name="_Toc474763571"/>
      <w:r>
        <w:t>3</w:t>
      </w:r>
      <w:r w:rsidR="00700648">
        <w:t>.2.</w:t>
      </w:r>
      <w:r w:rsidR="00700648">
        <w:tab/>
      </w:r>
      <w:r w:rsidR="00232325" w:rsidRPr="00232325">
        <w:t>Délai et modalités de dépôt des dossiers</w:t>
      </w:r>
      <w:bookmarkEnd w:id="14"/>
    </w:p>
    <w:p w:rsidR="00232325" w:rsidRPr="00563861" w:rsidRDefault="00232325" w:rsidP="00232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3861">
        <w:rPr>
          <w:rFonts w:ascii="Arial" w:hAnsi="Arial" w:cs="Arial"/>
          <w:color w:val="000000"/>
        </w:rPr>
        <w:t xml:space="preserve">Les candidats prendront soin de présenter un dossier de réponse </w:t>
      </w:r>
      <w:r>
        <w:rPr>
          <w:rFonts w:ascii="Arial" w:hAnsi="Arial" w:cs="Arial"/>
          <w:color w:val="000000"/>
        </w:rPr>
        <w:t>en trois</w:t>
      </w:r>
      <w:r w:rsidRPr="00563861">
        <w:rPr>
          <w:rFonts w:ascii="Arial" w:hAnsi="Arial" w:cs="Arial"/>
          <w:color w:val="000000"/>
        </w:rPr>
        <w:t xml:space="preserve"> exemplaires complets, selon les modalités suivantes : </w:t>
      </w:r>
      <w:r>
        <w:rPr>
          <w:rFonts w:ascii="Arial" w:hAnsi="Arial" w:cs="Arial"/>
          <w:color w:val="000000"/>
        </w:rPr>
        <w:t xml:space="preserve">deux </w:t>
      </w:r>
      <w:r w:rsidRPr="00563861">
        <w:rPr>
          <w:rFonts w:ascii="Arial" w:hAnsi="Arial" w:cs="Arial"/>
          <w:color w:val="000000"/>
        </w:rPr>
        <w:t xml:space="preserve">exemplaires papier et un exemplaire enregistré sur un support informatisé (clé USB, CD-Rom) sont adressés, par lettre recommandée avec avis de réception ou par tout moyen permettant d’attester de la date de leur réception, à l’adresse suivante : </w:t>
      </w:r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A3603E">
        <w:rPr>
          <w:rFonts w:ascii="Arial" w:eastAsia="Times New Roman" w:hAnsi="Arial" w:cs="Arial"/>
          <w:lang w:eastAsia="fr-FR"/>
        </w:rPr>
        <w:t>Agence de Santé Océan Indien</w:t>
      </w: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A3603E">
        <w:rPr>
          <w:rFonts w:ascii="Arial" w:eastAsia="Times New Roman" w:hAnsi="Arial" w:cs="Arial"/>
          <w:lang w:eastAsia="fr-FR"/>
        </w:rPr>
        <w:t>Délégation de l’Ile de La Réunion – Pôle Offre de Soins</w:t>
      </w: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u w:val="single"/>
          <w:lang w:eastAsia="fr-FR"/>
        </w:rPr>
      </w:pPr>
      <w:r w:rsidRPr="00A3603E">
        <w:rPr>
          <w:rFonts w:ascii="Arial" w:eastAsia="Times New Roman" w:hAnsi="Arial" w:cs="Arial"/>
          <w:u w:val="single"/>
          <w:lang w:eastAsia="fr-FR"/>
        </w:rPr>
        <w:t>A l’attention de la Cellule Gestion des autorisations</w:t>
      </w: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sz w:val="4"/>
          <w:szCs w:val="4"/>
          <w:lang w:eastAsia="fr-FR"/>
        </w:rPr>
      </w:pP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A3603E">
        <w:rPr>
          <w:rFonts w:ascii="Arial" w:eastAsia="Times New Roman" w:hAnsi="Arial" w:cs="Arial"/>
          <w:lang w:eastAsia="fr-FR"/>
        </w:rPr>
        <w:t xml:space="preserve">2 bis avenue Georges Brassens </w:t>
      </w: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A3603E">
        <w:rPr>
          <w:rFonts w:ascii="Arial" w:eastAsia="Times New Roman" w:hAnsi="Arial" w:cs="Arial"/>
          <w:lang w:eastAsia="fr-FR"/>
        </w:rPr>
        <w:t>CS 61002</w:t>
      </w:r>
    </w:p>
    <w:p w:rsidR="00A3603E" w:rsidRPr="00A3603E" w:rsidRDefault="00A3603E" w:rsidP="00A3603E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A3603E">
        <w:rPr>
          <w:rFonts w:ascii="Arial" w:eastAsia="Times New Roman" w:hAnsi="Arial" w:cs="Arial"/>
          <w:lang w:eastAsia="fr-FR"/>
        </w:rPr>
        <w:t>97743 Saint-Denis Cedex</w:t>
      </w:r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232325" w:rsidRDefault="00232325" w:rsidP="00232325">
      <w:pPr>
        <w:pStyle w:val="Default"/>
        <w:jc w:val="both"/>
        <w:rPr>
          <w:bCs/>
          <w:sz w:val="22"/>
          <w:szCs w:val="22"/>
        </w:rPr>
      </w:pPr>
      <w:r w:rsidRPr="00801705">
        <w:rPr>
          <w:b/>
          <w:bCs/>
          <w:color w:val="FF0000"/>
          <w:sz w:val="22"/>
          <w:szCs w:val="22"/>
        </w:rPr>
        <w:t xml:space="preserve">Date limite de réception ou dépôt des dossiers : </w:t>
      </w:r>
      <w:r w:rsidRPr="00384D75">
        <w:rPr>
          <w:b/>
          <w:bCs/>
          <w:color w:val="FF0000"/>
          <w:sz w:val="22"/>
          <w:szCs w:val="22"/>
          <w:u w:val="single"/>
        </w:rPr>
        <w:t>le</w:t>
      </w:r>
      <w:r w:rsidR="00A3603E">
        <w:rPr>
          <w:b/>
          <w:bCs/>
          <w:color w:val="FF0000"/>
          <w:sz w:val="22"/>
          <w:szCs w:val="22"/>
          <w:u w:val="single"/>
        </w:rPr>
        <w:t xml:space="preserve"> 31 mai</w:t>
      </w:r>
      <w:r w:rsidRPr="00384D75">
        <w:rPr>
          <w:b/>
          <w:bCs/>
          <w:color w:val="FF0000"/>
          <w:sz w:val="22"/>
          <w:szCs w:val="22"/>
          <w:u w:val="single"/>
        </w:rPr>
        <w:t xml:space="preserve"> 2017 avant 1</w:t>
      </w:r>
      <w:r>
        <w:rPr>
          <w:b/>
          <w:bCs/>
          <w:color w:val="FF0000"/>
          <w:sz w:val="22"/>
          <w:szCs w:val="22"/>
          <w:u w:val="single"/>
        </w:rPr>
        <w:t>5</w:t>
      </w:r>
      <w:r w:rsidRPr="00384D75">
        <w:rPr>
          <w:b/>
          <w:bCs/>
          <w:color w:val="FF0000"/>
          <w:sz w:val="22"/>
          <w:szCs w:val="22"/>
          <w:u w:val="single"/>
        </w:rPr>
        <w:t xml:space="preserve"> heures</w:t>
      </w:r>
      <w:r w:rsidRPr="00801705">
        <w:rPr>
          <w:bCs/>
          <w:color w:val="FF0000"/>
          <w:sz w:val="22"/>
          <w:szCs w:val="22"/>
        </w:rPr>
        <w:t xml:space="preserve"> </w:t>
      </w:r>
      <w:r w:rsidRPr="0089009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le </w:t>
      </w:r>
      <w:r w:rsidRPr="00890098">
        <w:rPr>
          <w:bCs/>
          <w:sz w:val="22"/>
          <w:szCs w:val="22"/>
        </w:rPr>
        <w:t>cachet de la poste</w:t>
      </w:r>
      <w:r>
        <w:rPr>
          <w:bCs/>
          <w:sz w:val="22"/>
          <w:szCs w:val="22"/>
        </w:rPr>
        <w:t xml:space="preserve"> faisant foi</w:t>
      </w:r>
      <w:r w:rsidRPr="00890098">
        <w:rPr>
          <w:bCs/>
          <w:sz w:val="22"/>
          <w:szCs w:val="22"/>
        </w:rPr>
        <w:t>). Tout dossier réceptionné au-delà</w:t>
      </w:r>
      <w:r>
        <w:rPr>
          <w:bCs/>
          <w:sz w:val="22"/>
          <w:szCs w:val="22"/>
        </w:rPr>
        <w:t xml:space="preserve"> </w:t>
      </w:r>
      <w:r w:rsidRPr="00890098">
        <w:rPr>
          <w:bCs/>
          <w:sz w:val="22"/>
          <w:szCs w:val="22"/>
        </w:rPr>
        <w:t>de l’heure et de la date limite</w:t>
      </w:r>
      <w:r>
        <w:rPr>
          <w:bCs/>
          <w:sz w:val="22"/>
          <w:szCs w:val="22"/>
        </w:rPr>
        <w:t>s</w:t>
      </w:r>
      <w:r w:rsidRPr="00890098">
        <w:rPr>
          <w:bCs/>
          <w:sz w:val="22"/>
          <w:szCs w:val="22"/>
        </w:rPr>
        <w:t xml:space="preserve"> sera renvoyé à l’expéditeur.</w:t>
      </w:r>
    </w:p>
    <w:p w:rsidR="00232325" w:rsidRPr="00700294" w:rsidRDefault="00232325" w:rsidP="00232325">
      <w:pPr>
        <w:pStyle w:val="Default"/>
        <w:jc w:val="both"/>
        <w:rPr>
          <w:bCs/>
          <w:sz w:val="6"/>
          <w:szCs w:val="6"/>
        </w:rPr>
      </w:pPr>
    </w:p>
    <w:p w:rsidR="00232325" w:rsidRPr="00890098" w:rsidRDefault="00232325" w:rsidP="00232325">
      <w:pPr>
        <w:pStyle w:val="Default"/>
        <w:jc w:val="both"/>
        <w:rPr>
          <w:bCs/>
          <w:sz w:val="22"/>
          <w:szCs w:val="22"/>
        </w:rPr>
      </w:pPr>
      <w:r w:rsidRPr="00801705">
        <w:rPr>
          <w:bCs/>
          <w:sz w:val="22"/>
          <w:szCs w:val="22"/>
          <w:u w:val="single"/>
        </w:rPr>
        <w:t>NB</w:t>
      </w:r>
      <w:r w:rsidRPr="00890098">
        <w:rPr>
          <w:bCs/>
          <w:sz w:val="22"/>
          <w:szCs w:val="22"/>
        </w:rPr>
        <w:t xml:space="preserve"> : Les candidats qui souhaitent déposer leur dossier en main propre peuvent le faire les jours</w:t>
      </w:r>
      <w:r>
        <w:rPr>
          <w:bCs/>
          <w:sz w:val="22"/>
          <w:szCs w:val="22"/>
        </w:rPr>
        <w:t xml:space="preserve"> </w:t>
      </w:r>
      <w:r w:rsidRPr="00890098">
        <w:rPr>
          <w:bCs/>
          <w:sz w:val="22"/>
          <w:szCs w:val="22"/>
        </w:rPr>
        <w:t xml:space="preserve">ouvrés, de </w:t>
      </w:r>
      <w:r>
        <w:rPr>
          <w:bCs/>
          <w:sz w:val="22"/>
          <w:szCs w:val="22"/>
        </w:rPr>
        <w:t>8</w:t>
      </w:r>
      <w:r w:rsidRPr="00890098">
        <w:rPr>
          <w:bCs/>
          <w:sz w:val="22"/>
          <w:szCs w:val="22"/>
        </w:rPr>
        <w:t xml:space="preserve">h à 12h </w:t>
      </w:r>
      <w:r>
        <w:rPr>
          <w:bCs/>
          <w:sz w:val="22"/>
          <w:szCs w:val="22"/>
        </w:rPr>
        <w:t>puis</w:t>
      </w:r>
      <w:r w:rsidRPr="00890098">
        <w:rPr>
          <w:bCs/>
          <w:sz w:val="22"/>
          <w:szCs w:val="22"/>
        </w:rPr>
        <w:t xml:space="preserve"> de 1</w:t>
      </w:r>
      <w:r>
        <w:rPr>
          <w:bCs/>
          <w:sz w:val="22"/>
          <w:szCs w:val="22"/>
        </w:rPr>
        <w:t>3</w:t>
      </w:r>
      <w:r w:rsidRPr="00890098">
        <w:rPr>
          <w:bCs/>
          <w:sz w:val="22"/>
          <w:szCs w:val="22"/>
        </w:rPr>
        <w:t>h à 16h</w:t>
      </w:r>
      <w:r>
        <w:rPr>
          <w:bCs/>
          <w:sz w:val="22"/>
          <w:szCs w:val="22"/>
        </w:rPr>
        <w:t>, 15h le vendredi</w:t>
      </w:r>
      <w:r w:rsidRPr="00890098">
        <w:rPr>
          <w:bCs/>
          <w:sz w:val="22"/>
          <w:szCs w:val="22"/>
        </w:rPr>
        <w:t>.</w:t>
      </w:r>
    </w:p>
    <w:p w:rsidR="00232325" w:rsidRDefault="00232325" w:rsidP="00232325">
      <w:pPr>
        <w:pStyle w:val="Default"/>
        <w:jc w:val="both"/>
        <w:rPr>
          <w:b/>
          <w:bCs/>
          <w:sz w:val="22"/>
          <w:szCs w:val="22"/>
        </w:rPr>
      </w:pPr>
    </w:p>
    <w:p w:rsidR="00FE6994" w:rsidRDefault="00FE6994" w:rsidP="00FE6994">
      <w:pPr>
        <w:pStyle w:val="Default"/>
        <w:jc w:val="both"/>
        <w:rPr>
          <w:color w:val="auto"/>
          <w:sz w:val="22"/>
          <w:szCs w:val="22"/>
        </w:rPr>
      </w:pPr>
    </w:p>
    <w:p w:rsidR="00232325" w:rsidRDefault="00D300D4" w:rsidP="006E1228">
      <w:pPr>
        <w:pStyle w:val="Titre2"/>
      </w:pPr>
      <w:bookmarkStart w:id="15" w:name="_Toc474763572"/>
      <w:r>
        <w:t>3</w:t>
      </w:r>
      <w:r w:rsidR="00232325">
        <w:t>.3.</w:t>
      </w:r>
      <w:r w:rsidR="00232325">
        <w:tab/>
        <w:t>Contenu du dossier de candidature</w:t>
      </w:r>
      <w:bookmarkEnd w:id="15"/>
    </w:p>
    <w:p w:rsidR="00A25F0C" w:rsidRDefault="00A25F0C" w:rsidP="005E1CA5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le dossier technique de demande de labellisation d’une UHR </w:t>
      </w:r>
      <w:r>
        <w:rPr>
          <w:color w:val="auto"/>
          <w:sz w:val="22"/>
          <w:szCs w:val="22"/>
        </w:rPr>
        <w:t>figurant en Annexe 2 du présent cahier des charges</w:t>
      </w:r>
    </w:p>
    <w:p w:rsidR="005E1CA5" w:rsidRPr="00D05F73" w:rsidRDefault="005E1CA5" w:rsidP="00D05F7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b/>
          <w:color w:val="auto"/>
          <w:sz w:val="22"/>
          <w:szCs w:val="22"/>
        </w:rPr>
        <w:t xml:space="preserve">une note </w:t>
      </w:r>
      <w:r w:rsidR="006A706D">
        <w:rPr>
          <w:b/>
          <w:color w:val="auto"/>
          <w:sz w:val="22"/>
          <w:szCs w:val="22"/>
        </w:rPr>
        <w:t xml:space="preserve">d’opportunité </w:t>
      </w:r>
      <w:r w:rsidR="001A720F">
        <w:rPr>
          <w:b/>
          <w:color w:val="auto"/>
          <w:sz w:val="22"/>
          <w:szCs w:val="22"/>
        </w:rPr>
        <w:t xml:space="preserve">présentant </w:t>
      </w:r>
      <w:r w:rsidRPr="00D05F73">
        <w:rPr>
          <w:color w:val="auto"/>
          <w:sz w:val="22"/>
          <w:szCs w:val="22"/>
        </w:rPr>
        <w:t xml:space="preserve">une description du projet, de sa conduite et de ses objectifs qualitatifs et qualitatifs selon les éléments du cahier des charges </w:t>
      </w:r>
    </w:p>
    <w:p w:rsidR="005E1CA5" w:rsidRPr="005E1CA5" w:rsidRDefault="005E1CA5" w:rsidP="005E1CA5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5E1CA5">
        <w:rPr>
          <w:b/>
          <w:color w:val="auto"/>
          <w:sz w:val="22"/>
          <w:szCs w:val="22"/>
        </w:rPr>
        <w:t xml:space="preserve">les pièces administratives </w:t>
      </w:r>
      <w:r>
        <w:rPr>
          <w:b/>
          <w:color w:val="auto"/>
          <w:sz w:val="22"/>
          <w:szCs w:val="22"/>
        </w:rPr>
        <w:t>inhérentes à toute demande de financement public :</w:t>
      </w:r>
      <w:r w:rsidRPr="005E1CA5">
        <w:rPr>
          <w:b/>
          <w:color w:val="auto"/>
          <w:sz w:val="22"/>
          <w:szCs w:val="22"/>
        </w:rPr>
        <w:t xml:space="preserve"> </w:t>
      </w:r>
    </w:p>
    <w:p w:rsidR="005E1CA5" w:rsidRPr="005E1CA5" w:rsidRDefault="005E1CA5" w:rsidP="0005475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 xml:space="preserve">le dossier de financement : formulaire à renseigner (annexe financière) </w:t>
      </w:r>
    </w:p>
    <w:p w:rsidR="005E1CA5" w:rsidRPr="005E1CA5" w:rsidRDefault="005E1CA5" w:rsidP="0005475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et, pour un porteur privé à but non lucratif :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copie des statuts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récépissé de déclaration en Préfecture et, le cas échéant, des modifications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derniers comptes annuels approuvés</w:t>
      </w:r>
    </w:p>
    <w:p w:rsidR="005E1CA5" w:rsidRPr="005E1CA5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copie du dernier rapport du Commissaire aux comptes</w:t>
      </w:r>
    </w:p>
    <w:p w:rsidR="00700648" w:rsidRDefault="005E1CA5" w:rsidP="0005475B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5E1CA5">
        <w:rPr>
          <w:color w:val="auto"/>
          <w:sz w:val="22"/>
          <w:szCs w:val="22"/>
        </w:rPr>
        <w:t>dernier rapport d’activité de l’organisme</w:t>
      </w:r>
    </w:p>
    <w:p w:rsidR="00ED582F" w:rsidRDefault="00ED582F" w:rsidP="008C1BFC">
      <w:pPr>
        <w:pStyle w:val="Default"/>
        <w:rPr>
          <w:color w:val="auto"/>
          <w:sz w:val="22"/>
          <w:szCs w:val="22"/>
        </w:rPr>
      </w:pPr>
    </w:p>
    <w:sectPr w:rsidR="00ED582F" w:rsidSect="00B7597E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04" w:rsidRDefault="00B54A04" w:rsidP="00154D9C">
      <w:pPr>
        <w:spacing w:after="0" w:line="240" w:lineRule="auto"/>
      </w:pPr>
      <w:r>
        <w:separator/>
      </w:r>
    </w:p>
  </w:endnote>
  <w:endnote w:type="continuationSeparator" w:id="0">
    <w:p w:rsidR="00B54A04" w:rsidRDefault="00B54A04" w:rsidP="0015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B54A04">
      <w:tc>
        <w:tcPr>
          <w:tcW w:w="918" w:type="dxa"/>
        </w:tcPr>
        <w:p w:rsidR="00B54A04" w:rsidRDefault="00B54A04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A5726" w:rsidRPr="00CA572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54A04" w:rsidRDefault="00B54A04">
          <w:pPr>
            <w:pStyle w:val="Pieddepage"/>
          </w:pPr>
        </w:p>
      </w:tc>
    </w:tr>
  </w:tbl>
  <w:p w:rsidR="00B54A04" w:rsidRDefault="00B54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04" w:rsidRDefault="00B54A04" w:rsidP="00154D9C">
      <w:pPr>
        <w:spacing w:after="0" w:line="240" w:lineRule="auto"/>
      </w:pPr>
      <w:r>
        <w:separator/>
      </w:r>
    </w:p>
  </w:footnote>
  <w:footnote w:type="continuationSeparator" w:id="0">
    <w:p w:rsidR="00B54A04" w:rsidRDefault="00B54A04" w:rsidP="0015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04" w:rsidRDefault="00B7597E" w:rsidP="00B7597E">
    <w:pPr>
      <w:pStyle w:val="En-tte"/>
      <w:jc w:val="right"/>
    </w:pPr>
    <w:r w:rsidRPr="00B7597E">
      <w:rPr>
        <w:rFonts w:ascii="Arial Narrow" w:eastAsia="Times New Roman" w:hAnsi="Arial Narrow" w:cs="Times New Roman"/>
        <w:sz w:val="14"/>
        <w:szCs w:val="14"/>
        <w:u w:val="single"/>
        <w:lang w:bidi="en-US"/>
      </w:rPr>
      <w:t>Appel à candidatures «UHR – n°02/AAC/ARSOI/2017»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04" w:rsidRDefault="00B7597E" w:rsidP="00B54A04">
    <w:pPr>
      <w:pStyle w:val="En-tte"/>
      <w:ind w:left="-851"/>
      <w:jc w:val="right"/>
    </w:pPr>
    <w:r w:rsidRPr="00B7597E">
      <w:rPr>
        <w:rFonts w:ascii="Arial Narrow" w:eastAsia="Times New Roman" w:hAnsi="Arial Narrow" w:cs="Times New Roman"/>
        <w:sz w:val="14"/>
        <w:szCs w:val="14"/>
        <w:u w:val="single"/>
        <w:lang w:bidi="en-US"/>
      </w:rPr>
      <w:t>Appel à candidatures «UHR – n°02/AAC/ARSOI/2017»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5ED"/>
    <w:multiLevelType w:val="hybridMultilevel"/>
    <w:tmpl w:val="288C0AB8"/>
    <w:lvl w:ilvl="0" w:tplc="129419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A5D"/>
    <w:multiLevelType w:val="hybridMultilevel"/>
    <w:tmpl w:val="AE8CC16A"/>
    <w:lvl w:ilvl="0" w:tplc="E858FC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2609"/>
    <w:multiLevelType w:val="hybridMultilevel"/>
    <w:tmpl w:val="7EDE7CBC"/>
    <w:lvl w:ilvl="0" w:tplc="2E446440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7E1F7D"/>
    <w:multiLevelType w:val="hybridMultilevel"/>
    <w:tmpl w:val="83885782"/>
    <w:lvl w:ilvl="0" w:tplc="20D85C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42C59"/>
    <w:multiLevelType w:val="hybridMultilevel"/>
    <w:tmpl w:val="3814B442"/>
    <w:lvl w:ilvl="0" w:tplc="56D82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D125B"/>
    <w:multiLevelType w:val="hybridMultilevel"/>
    <w:tmpl w:val="77522798"/>
    <w:lvl w:ilvl="0" w:tplc="F19229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5162"/>
    <w:multiLevelType w:val="hybridMultilevel"/>
    <w:tmpl w:val="D164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FC"/>
    <w:rsid w:val="00000DE3"/>
    <w:rsid w:val="00006FD0"/>
    <w:rsid w:val="00037E14"/>
    <w:rsid w:val="00047A10"/>
    <w:rsid w:val="000500D7"/>
    <w:rsid w:val="0005475B"/>
    <w:rsid w:val="00056E9F"/>
    <w:rsid w:val="000808F7"/>
    <w:rsid w:val="00093288"/>
    <w:rsid w:val="000C5F88"/>
    <w:rsid w:val="000D2280"/>
    <w:rsid w:val="000E6F5E"/>
    <w:rsid w:val="000F6D26"/>
    <w:rsid w:val="00100BAB"/>
    <w:rsid w:val="00107243"/>
    <w:rsid w:val="00144802"/>
    <w:rsid w:val="00154D9C"/>
    <w:rsid w:val="00170509"/>
    <w:rsid w:val="001847CC"/>
    <w:rsid w:val="001A720F"/>
    <w:rsid w:val="001B0DB4"/>
    <w:rsid w:val="001B2EB9"/>
    <w:rsid w:val="001C78C0"/>
    <w:rsid w:val="001D77DC"/>
    <w:rsid w:val="001E5606"/>
    <w:rsid w:val="001F13EA"/>
    <w:rsid w:val="0021032F"/>
    <w:rsid w:val="00232325"/>
    <w:rsid w:val="0024452D"/>
    <w:rsid w:val="002614AC"/>
    <w:rsid w:val="00265F63"/>
    <w:rsid w:val="00277C5D"/>
    <w:rsid w:val="002A6550"/>
    <w:rsid w:val="002C429F"/>
    <w:rsid w:val="002C55D8"/>
    <w:rsid w:val="002D0B11"/>
    <w:rsid w:val="002E2533"/>
    <w:rsid w:val="002F0C4C"/>
    <w:rsid w:val="0030240B"/>
    <w:rsid w:val="00314BF1"/>
    <w:rsid w:val="00320D47"/>
    <w:rsid w:val="0033189C"/>
    <w:rsid w:val="00332BA4"/>
    <w:rsid w:val="0034551B"/>
    <w:rsid w:val="00353433"/>
    <w:rsid w:val="00360136"/>
    <w:rsid w:val="00386C6F"/>
    <w:rsid w:val="00386D83"/>
    <w:rsid w:val="00390CF9"/>
    <w:rsid w:val="0039389A"/>
    <w:rsid w:val="003A512B"/>
    <w:rsid w:val="003A6F5C"/>
    <w:rsid w:val="003B3BE0"/>
    <w:rsid w:val="003C0E9C"/>
    <w:rsid w:val="003C2AFF"/>
    <w:rsid w:val="003C4BB1"/>
    <w:rsid w:val="003D3EB0"/>
    <w:rsid w:val="003D5A93"/>
    <w:rsid w:val="003E00C8"/>
    <w:rsid w:val="003E61AF"/>
    <w:rsid w:val="003F58E0"/>
    <w:rsid w:val="00423334"/>
    <w:rsid w:val="00436BC4"/>
    <w:rsid w:val="00450AB5"/>
    <w:rsid w:val="00454098"/>
    <w:rsid w:val="004605A7"/>
    <w:rsid w:val="00464D52"/>
    <w:rsid w:val="004941B0"/>
    <w:rsid w:val="004A0204"/>
    <w:rsid w:val="004A1DE8"/>
    <w:rsid w:val="004A5202"/>
    <w:rsid w:val="004B7534"/>
    <w:rsid w:val="004E2C12"/>
    <w:rsid w:val="004E6A22"/>
    <w:rsid w:val="004E7724"/>
    <w:rsid w:val="005211DB"/>
    <w:rsid w:val="00531C30"/>
    <w:rsid w:val="005352DC"/>
    <w:rsid w:val="005739D4"/>
    <w:rsid w:val="005A67C4"/>
    <w:rsid w:val="005E1CA5"/>
    <w:rsid w:val="005E4471"/>
    <w:rsid w:val="005F63B2"/>
    <w:rsid w:val="006241C4"/>
    <w:rsid w:val="00636A2C"/>
    <w:rsid w:val="00652A5A"/>
    <w:rsid w:val="00655F13"/>
    <w:rsid w:val="00660469"/>
    <w:rsid w:val="00680094"/>
    <w:rsid w:val="006902A9"/>
    <w:rsid w:val="006A5FC0"/>
    <w:rsid w:val="006A706D"/>
    <w:rsid w:val="006B2812"/>
    <w:rsid w:val="006B32C6"/>
    <w:rsid w:val="006D00E7"/>
    <w:rsid w:val="006D7869"/>
    <w:rsid w:val="006E1228"/>
    <w:rsid w:val="00700294"/>
    <w:rsid w:val="00700648"/>
    <w:rsid w:val="007127EA"/>
    <w:rsid w:val="007165EA"/>
    <w:rsid w:val="0071700A"/>
    <w:rsid w:val="007222C6"/>
    <w:rsid w:val="00752913"/>
    <w:rsid w:val="00752FC2"/>
    <w:rsid w:val="00780EF3"/>
    <w:rsid w:val="00781B92"/>
    <w:rsid w:val="00784C76"/>
    <w:rsid w:val="007858F9"/>
    <w:rsid w:val="007862EA"/>
    <w:rsid w:val="007A045C"/>
    <w:rsid w:val="007A13FD"/>
    <w:rsid w:val="007A6F17"/>
    <w:rsid w:val="007A7604"/>
    <w:rsid w:val="007B2583"/>
    <w:rsid w:val="007C2899"/>
    <w:rsid w:val="007C786F"/>
    <w:rsid w:val="007D3163"/>
    <w:rsid w:val="007E6200"/>
    <w:rsid w:val="007F5A12"/>
    <w:rsid w:val="008219B0"/>
    <w:rsid w:val="00821E62"/>
    <w:rsid w:val="00822691"/>
    <w:rsid w:val="00826A79"/>
    <w:rsid w:val="00834A02"/>
    <w:rsid w:val="008409BD"/>
    <w:rsid w:val="00854368"/>
    <w:rsid w:val="00854BC6"/>
    <w:rsid w:val="00880DDA"/>
    <w:rsid w:val="00885889"/>
    <w:rsid w:val="00894EA5"/>
    <w:rsid w:val="008A24D4"/>
    <w:rsid w:val="008A303F"/>
    <w:rsid w:val="008A4F39"/>
    <w:rsid w:val="008B7141"/>
    <w:rsid w:val="008C1BFC"/>
    <w:rsid w:val="008C6573"/>
    <w:rsid w:val="008D374F"/>
    <w:rsid w:val="008D44CF"/>
    <w:rsid w:val="008E0A0C"/>
    <w:rsid w:val="008E1A3D"/>
    <w:rsid w:val="008E2262"/>
    <w:rsid w:val="008E5D57"/>
    <w:rsid w:val="008E62F3"/>
    <w:rsid w:val="008F16CC"/>
    <w:rsid w:val="008F2759"/>
    <w:rsid w:val="008F5A32"/>
    <w:rsid w:val="00924A6B"/>
    <w:rsid w:val="00981B23"/>
    <w:rsid w:val="00992E73"/>
    <w:rsid w:val="009B1676"/>
    <w:rsid w:val="009D3884"/>
    <w:rsid w:val="009D48C1"/>
    <w:rsid w:val="009D7255"/>
    <w:rsid w:val="009E4C82"/>
    <w:rsid w:val="00A2568F"/>
    <w:rsid w:val="00A25F0C"/>
    <w:rsid w:val="00A33174"/>
    <w:rsid w:val="00A3603E"/>
    <w:rsid w:val="00A4122A"/>
    <w:rsid w:val="00A4630B"/>
    <w:rsid w:val="00A51784"/>
    <w:rsid w:val="00A603A3"/>
    <w:rsid w:val="00A84929"/>
    <w:rsid w:val="00A85B36"/>
    <w:rsid w:val="00AA7CB7"/>
    <w:rsid w:val="00AB0786"/>
    <w:rsid w:val="00AC16E0"/>
    <w:rsid w:val="00AD1ED3"/>
    <w:rsid w:val="00B0722B"/>
    <w:rsid w:val="00B203CE"/>
    <w:rsid w:val="00B20980"/>
    <w:rsid w:val="00B333E8"/>
    <w:rsid w:val="00B3420E"/>
    <w:rsid w:val="00B34EB0"/>
    <w:rsid w:val="00B51417"/>
    <w:rsid w:val="00B54A04"/>
    <w:rsid w:val="00B57BC4"/>
    <w:rsid w:val="00B6415A"/>
    <w:rsid w:val="00B7474E"/>
    <w:rsid w:val="00B7597E"/>
    <w:rsid w:val="00B774AE"/>
    <w:rsid w:val="00B84AE5"/>
    <w:rsid w:val="00BA1AEA"/>
    <w:rsid w:val="00BA41FF"/>
    <w:rsid w:val="00BA4895"/>
    <w:rsid w:val="00BA4FE4"/>
    <w:rsid w:val="00BC7DB5"/>
    <w:rsid w:val="00BE3C89"/>
    <w:rsid w:val="00BE669B"/>
    <w:rsid w:val="00BF3472"/>
    <w:rsid w:val="00C07B25"/>
    <w:rsid w:val="00C14ECF"/>
    <w:rsid w:val="00C40804"/>
    <w:rsid w:val="00C42572"/>
    <w:rsid w:val="00C447E9"/>
    <w:rsid w:val="00C53034"/>
    <w:rsid w:val="00C66232"/>
    <w:rsid w:val="00C673C9"/>
    <w:rsid w:val="00C7465C"/>
    <w:rsid w:val="00C83C5D"/>
    <w:rsid w:val="00CA5726"/>
    <w:rsid w:val="00CE66CD"/>
    <w:rsid w:val="00CF67C5"/>
    <w:rsid w:val="00D05F73"/>
    <w:rsid w:val="00D300D4"/>
    <w:rsid w:val="00D416EB"/>
    <w:rsid w:val="00D608A0"/>
    <w:rsid w:val="00D80222"/>
    <w:rsid w:val="00D87639"/>
    <w:rsid w:val="00D95772"/>
    <w:rsid w:val="00D97675"/>
    <w:rsid w:val="00DA06CB"/>
    <w:rsid w:val="00DA2BE3"/>
    <w:rsid w:val="00DA4D08"/>
    <w:rsid w:val="00DC3BDE"/>
    <w:rsid w:val="00DD2AB3"/>
    <w:rsid w:val="00DF0F03"/>
    <w:rsid w:val="00E13DC8"/>
    <w:rsid w:val="00E14AD9"/>
    <w:rsid w:val="00E3008B"/>
    <w:rsid w:val="00E31A84"/>
    <w:rsid w:val="00E33F4D"/>
    <w:rsid w:val="00E34466"/>
    <w:rsid w:val="00E60083"/>
    <w:rsid w:val="00E63A8C"/>
    <w:rsid w:val="00E67C8A"/>
    <w:rsid w:val="00E76654"/>
    <w:rsid w:val="00E86140"/>
    <w:rsid w:val="00EB22BD"/>
    <w:rsid w:val="00EC3A63"/>
    <w:rsid w:val="00ED582F"/>
    <w:rsid w:val="00EF0D1C"/>
    <w:rsid w:val="00EF3553"/>
    <w:rsid w:val="00F3219C"/>
    <w:rsid w:val="00F41843"/>
    <w:rsid w:val="00F42A6F"/>
    <w:rsid w:val="00F466C6"/>
    <w:rsid w:val="00F51D93"/>
    <w:rsid w:val="00F53195"/>
    <w:rsid w:val="00F66939"/>
    <w:rsid w:val="00F80E83"/>
    <w:rsid w:val="00F85055"/>
    <w:rsid w:val="00FC71F7"/>
    <w:rsid w:val="00FD23B0"/>
    <w:rsid w:val="00FE2BCE"/>
    <w:rsid w:val="00FE6994"/>
    <w:rsid w:val="00FF123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1228"/>
    <w:pPr>
      <w:keepNext/>
      <w:keepLines/>
      <w:spacing w:before="480" w:after="0"/>
      <w:ind w:left="567" w:hanging="567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28"/>
    <w:pPr>
      <w:keepNext/>
      <w:keepLines/>
      <w:spacing w:before="200" w:after="0"/>
      <w:ind w:left="567" w:hanging="567"/>
      <w:jc w:val="both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BE3"/>
    <w:pPr>
      <w:keepNext/>
      <w:keepLines/>
      <w:spacing w:before="200" w:after="0"/>
      <w:ind w:left="709" w:hanging="709"/>
      <w:outlineLvl w:val="2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22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1228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2BE3"/>
    <w:rPr>
      <w:rFonts w:ascii="Arial" w:eastAsiaTheme="majorEastAsia" w:hAnsi="Arial" w:cs="Arial"/>
      <w:b/>
      <w:bCs/>
      <w:color w:val="4F81BD" w:themeColor="accent1"/>
    </w:rPr>
  </w:style>
  <w:style w:type="paragraph" w:customStyle="1" w:styleId="Default">
    <w:name w:val="Default"/>
    <w:rsid w:val="008C1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9C"/>
  </w:style>
  <w:style w:type="paragraph" w:styleId="Pieddepage">
    <w:name w:val="footer"/>
    <w:basedOn w:val="Normal"/>
    <w:link w:val="Pieddepag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9C"/>
  </w:style>
  <w:style w:type="paragraph" w:styleId="Textedebulles">
    <w:name w:val="Balloon Text"/>
    <w:basedOn w:val="Normal"/>
    <w:link w:val="TextedebullesCar"/>
    <w:uiPriority w:val="99"/>
    <w:semiHidden/>
    <w:unhideWhenUsed/>
    <w:rsid w:val="0015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C7DB5"/>
    <w:pPr>
      <w:jc w:val="left"/>
      <w:outlineLvl w:val="9"/>
    </w:pPr>
    <w:rPr>
      <w:rFonts w:asciiTheme="majorHAnsi" w:hAnsiTheme="majorHAnsi" w:cstheme="majorBid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DB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C7DB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C7DB5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34EB0"/>
    <w:pPr>
      <w:tabs>
        <w:tab w:val="left" w:pos="1078"/>
        <w:tab w:val="left" w:pos="1320"/>
        <w:tab w:val="right" w:leader="dot" w:pos="9060"/>
      </w:tabs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390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C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C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CF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3DC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2325"/>
    <w:rPr>
      <w:b/>
      <w:bCs/>
    </w:rPr>
  </w:style>
  <w:style w:type="character" w:customStyle="1" w:styleId="A8">
    <w:name w:val="A8"/>
    <w:uiPriority w:val="99"/>
    <w:rsid w:val="000C5F88"/>
    <w:rPr>
      <w:rFonts w:cs="Univers LT Std 45 Light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1228"/>
    <w:pPr>
      <w:keepNext/>
      <w:keepLines/>
      <w:spacing w:before="480" w:after="0"/>
      <w:ind w:left="567" w:hanging="567"/>
      <w:jc w:val="both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28"/>
    <w:pPr>
      <w:keepNext/>
      <w:keepLines/>
      <w:spacing w:before="200" w:after="0"/>
      <w:ind w:left="567" w:hanging="567"/>
      <w:jc w:val="both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BE3"/>
    <w:pPr>
      <w:keepNext/>
      <w:keepLines/>
      <w:spacing w:before="200" w:after="0"/>
      <w:ind w:left="709" w:hanging="709"/>
      <w:outlineLvl w:val="2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22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1228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2BE3"/>
    <w:rPr>
      <w:rFonts w:ascii="Arial" w:eastAsiaTheme="majorEastAsia" w:hAnsi="Arial" w:cs="Arial"/>
      <w:b/>
      <w:bCs/>
      <w:color w:val="4F81BD" w:themeColor="accent1"/>
    </w:rPr>
  </w:style>
  <w:style w:type="paragraph" w:customStyle="1" w:styleId="Default">
    <w:name w:val="Default"/>
    <w:rsid w:val="008C1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9C"/>
  </w:style>
  <w:style w:type="paragraph" w:styleId="Pieddepage">
    <w:name w:val="footer"/>
    <w:basedOn w:val="Normal"/>
    <w:link w:val="PieddepageCar"/>
    <w:uiPriority w:val="99"/>
    <w:unhideWhenUsed/>
    <w:rsid w:val="0015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9C"/>
  </w:style>
  <w:style w:type="paragraph" w:styleId="Textedebulles">
    <w:name w:val="Balloon Text"/>
    <w:basedOn w:val="Normal"/>
    <w:link w:val="TextedebullesCar"/>
    <w:uiPriority w:val="99"/>
    <w:semiHidden/>
    <w:unhideWhenUsed/>
    <w:rsid w:val="0015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C7DB5"/>
    <w:pPr>
      <w:jc w:val="left"/>
      <w:outlineLvl w:val="9"/>
    </w:pPr>
    <w:rPr>
      <w:rFonts w:asciiTheme="majorHAnsi" w:hAnsiTheme="majorHAnsi" w:cstheme="majorBid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DB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C7DB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C7DB5"/>
    <w:rPr>
      <w:color w:val="0000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34EB0"/>
    <w:pPr>
      <w:tabs>
        <w:tab w:val="left" w:pos="1078"/>
        <w:tab w:val="left" w:pos="1320"/>
        <w:tab w:val="right" w:leader="dot" w:pos="9060"/>
      </w:tabs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390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C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C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CF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3DC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2325"/>
    <w:rPr>
      <w:b/>
      <w:bCs/>
    </w:rPr>
  </w:style>
  <w:style w:type="character" w:customStyle="1" w:styleId="A8">
    <w:name w:val="A8"/>
    <w:uiPriority w:val="99"/>
    <w:rsid w:val="000C5F88"/>
    <w:rPr>
      <w:rFonts w:cs="Univers LT Std 45 Light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s.ocean-indien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FD00-20C4-4379-A9D9-557619AF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20D59614</Template>
  <TotalTime>32</TotalTime>
  <Pages>6</Pages>
  <Words>1904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CARITAS, Marie</dc:creator>
  <cp:lastModifiedBy>GIVRAN, Jean-Luc</cp:lastModifiedBy>
  <cp:revision>11</cp:revision>
  <cp:lastPrinted>2017-03-21T10:47:00Z</cp:lastPrinted>
  <dcterms:created xsi:type="dcterms:W3CDTF">2017-03-15T06:13:00Z</dcterms:created>
  <dcterms:modified xsi:type="dcterms:W3CDTF">2017-03-30T05:07:00Z</dcterms:modified>
</cp:coreProperties>
</file>