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FC" w:rsidRDefault="0000619A" w:rsidP="008C1BFC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FC3672" wp14:editId="6EC178A5">
            <wp:simplePos x="0" y="0"/>
            <wp:positionH relativeFrom="column">
              <wp:posOffset>-519430</wp:posOffset>
            </wp:positionH>
            <wp:positionV relativeFrom="paragraph">
              <wp:posOffset>-269875</wp:posOffset>
            </wp:positionV>
            <wp:extent cx="1511300" cy="872490"/>
            <wp:effectExtent l="19050" t="0" r="0" b="0"/>
            <wp:wrapTight wrapText="bothSides">
              <wp:wrapPolygon edited="0">
                <wp:start x="-272" y="0"/>
                <wp:lineTo x="-272" y="21223"/>
                <wp:lineTo x="21509" y="21223"/>
                <wp:lineTo x="21509" y="0"/>
                <wp:lineTo x="-272" y="0"/>
              </wp:wrapPolygon>
            </wp:wrapTight>
            <wp:docPr id="10" name="Image 10" descr="AS_ocean_in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_ocean_indi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Pr="007A6F17" w:rsidRDefault="008E62F3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8E62F3" w:rsidRPr="007A6F17" w:rsidRDefault="008C1BFC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  <w:r w:rsidRPr="007A6F17">
        <w:rPr>
          <w:b/>
          <w:bCs/>
          <w:sz w:val="36"/>
          <w:szCs w:val="36"/>
          <w:u w:val="single"/>
        </w:rPr>
        <w:t>Annexe 1</w:t>
      </w:r>
      <w:r w:rsidRPr="007A6F17">
        <w:rPr>
          <w:b/>
          <w:bCs/>
          <w:sz w:val="36"/>
          <w:szCs w:val="36"/>
        </w:rPr>
        <w:t xml:space="preserve"> : </w:t>
      </w:r>
    </w:p>
    <w:p w:rsidR="008C1BFC" w:rsidRPr="007A6F17" w:rsidRDefault="008C1BFC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sz w:val="36"/>
          <w:szCs w:val="36"/>
        </w:rPr>
      </w:pPr>
      <w:r w:rsidRPr="007A6F17">
        <w:rPr>
          <w:b/>
          <w:bCs/>
          <w:sz w:val="36"/>
          <w:szCs w:val="36"/>
        </w:rPr>
        <w:t>Cahier des charges</w:t>
      </w:r>
    </w:p>
    <w:p w:rsidR="00C7465C" w:rsidRPr="007A6F17" w:rsidRDefault="00C7465C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8E62F3" w:rsidRPr="007A6F17" w:rsidRDefault="008E62F3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8E62F3" w:rsidRPr="007A6F17" w:rsidRDefault="008E62F3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5E1CA5" w:rsidRDefault="008C1BFC" w:rsidP="005E1CA5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  <w:r w:rsidRPr="007A6F17">
        <w:rPr>
          <w:b/>
          <w:bCs/>
          <w:sz w:val="36"/>
          <w:szCs w:val="36"/>
        </w:rPr>
        <w:t xml:space="preserve">Appel à </w:t>
      </w:r>
      <w:r w:rsidR="00B7474E" w:rsidRPr="007A6F17">
        <w:rPr>
          <w:b/>
          <w:bCs/>
          <w:sz w:val="36"/>
          <w:szCs w:val="36"/>
        </w:rPr>
        <w:t>candidature</w:t>
      </w:r>
      <w:r w:rsidR="00BE3C89">
        <w:rPr>
          <w:b/>
          <w:bCs/>
          <w:sz w:val="36"/>
          <w:szCs w:val="36"/>
        </w:rPr>
        <w:t>s</w:t>
      </w:r>
      <w:r w:rsidRPr="007A6F17">
        <w:rPr>
          <w:b/>
          <w:bCs/>
          <w:sz w:val="36"/>
          <w:szCs w:val="36"/>
        </w:rPr>
        <w:t xml:space="preserve"> </w:t>
      </w:r>
    </w:p>
    <w:p w:rsidR="005E1CA5" w:rsidRDefault="005E1CA5" w:rsidP="005E1CA5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8C1BFC" w:rsidRDefault="005E1CA5" w:rsidP="005E1CA5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I</w:t>
      </w:r>
      <w:r w:rsidRPr="005E1CA5">
        <w:rPr>
          <w:b/>
          <w:bCs/>
          <w:sz w:val="36"/>
          <w:szCs w:val="36"/>
        </w:rPr>
        <w:t xml:space="preserve">nstallation </w:t>
      </w:r>
      <w:r>
        <w:rPr>
          <w:b/>
          <w:bCs/>
          <w:sz w:val="36"/>
          <w:szCs w:val="36"/>
        </w:rPr>
        <w:t>d’une nouvelle</w:t>
      </w:r>
      <w:r w:rsidRPr="005E1CA5">
        <w:rPr>
          <w:b/>
          <w:bCs/>
          <w:sz w:val="36"/>
          <w:szCs w:val="36"/>
        </w:rPr>
        <w:t xml:space="preserve"> MAIA (Méthode d’action pour l’intégration des services d’aide et de soins dans le champ de l’autonomie</w:t>
      </w:r>
      <w:r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dans l’est du</w:t>
      </w:r>
      <w:r w:rsidR="00B7474E" w:rsidRPr="007A6F17">
        <w:rPr>
          <w:b/>
          <w:bCs/>
          <w:sz w:val="36"/>
          <w:szCs w:val="36"/>
        </w:rPr>
        <w:t xml:space="preserve"> </w:t>
      </w:r>
      <w:r w:rsidR="007A6F17">
        <w:rPr>
          <w:b/>
          <w:bCs/>
          <w:sz w:val="36"/>
          <w:szCs w:val="36"/>
        </w:rPr>
        <w:t>département</w:t>
      </w:r>
      <w:r w:rsidR="008C1BFC" w:rsidRPr="007A6F17">
        <w:rPr>
          <w:b/>
          <w:bCs/>
          <w:sz w:val="36"/>
          <w:szCs w:val="36"/>
        </w:rPr>
        <w:t xml:space="preserve"> de </w:t>
      </w:r>
      <w:r w:rsidR="00B7474E" w:rsidRPr="007A6F17">
        <w:rPr>
          <w:b/>
          <w:bCs/>
          <w:sz w:val="36"/>
          <w:szCs w:val="36"/>
        </w:rPr>
        <w:t>la Réunion</w:t>
      </w:r>
    </w:p>
    <w:p w:rsidR="008E62F3" w:rsidRDefault="008E62F3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E62F3" w:rsidRPr="00C7465C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71298240"/>
        <w:docPartObj>
          <w:docPartGallery w:val="Table of Contents"/>
          <w:docPartUnique/>
        </w:docPartObj>
      </w:sdtPr>
      <w:sdtEndPr/>
      <w:sdtContent>
        <w:p w:rsidR="00BC7DB5" w:rsidRDefault="00BC7DB5" w:rsidP="006E1228">
          <w:pPr>
            <w:pStyle w:val="En-ttedetabledesmatires"/>
          </w:pPr>
          <w:r>
            <w:t>Table des matières</w:t>
          </w:r>
        </w:p>
        <w:p w:rsidR="008219B0" w:rsidRDefault="008219B0" w:rsidP="008219B0">
          <w:pPr>
            <w:rPr>
              <w:lang w:eastAsia="fr-FR"/>
            </w:rPr>
          </w:pPr>
        </w:p>
        <w:p w:rsidR="008219B0" w:rsidRPr="008219B0" w:rsidRDefault="008219B0" w:rsidP="008219B0">
          <w:pPr>
            <w:rPr>
              <w:lang w:eastAsia="fr-FR"/>
            </w:rPr>
          </w:pPr>
        </w:p>
        <w:p w:rsidR="00C2059F" w:rsidRDefault="00BC7DB5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932800" w:history="1">
            <w:r w:rsidR="00C2059F" w:rsidRPr="00C77B49">
              <w:rPr>
                <w:rStyle w:val="Lienhypertexte"/>
                <w:noProof/>
              </w:rPr>
              <w:t>1.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Objet de l’appel à candidatures et nature de l’intervention envisagée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_Toc472932800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 w:rsidR="00720639">
              <w:rPr>
                <w:noProof/>
                <w:webHidden/>
              </w:rPr>
              <w:t>3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1" w:history="1">
            <w:r w:rsidR="00C2059F" w:rsidRPr="00C77B49">
              <w:rPr>
                <w:rStyle w:val="Lienhypertexte"/>
                <w:noProof/>
              </w:rPr>
              <w:t>1.1.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Les éléments de contexte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_Toc472932801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2" w:history="1">
            <w:r w:rsidR="00C2059F" w:rsidRPr="00C77B49">
              <w:rPr>
                <w:rStyle w:val="Lienhypertexte"/>
                <w:noProof/>
              </w:rPr>
              <w:t>1.2.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Le cadre juridique l’appel à candidatures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_Toc472932802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3" w:history="1">
            <w:r w:rsidR="00C2059F" w:rsidRPr="00C77B49">
              <w:rPr>
                <w:rStyle w:val="Lienhypertexte"/>
                <w:noProof/>
              </w:rPr>
              <w:t>1.3.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Les caractéristiques du projet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_Toc472932803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4" w:history="1">
            <w:r w:rsidR="00C2059F" w:rsidRPr="00C77B49">
              <w:rPr>
                <w:rStyle w:val="Lienhypertexte"/>
                <w:noProof/>
              </w:rPr>
              <w:t>1.3.1.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Structures porteuses éligibles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_Toc472932804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5" w:history="1">
            <w:r w:rsidR="00C2059F" w:rsidRPr="00C77B49">
              <w:rPr>
                <w:rStyle w:val="Lienhypertexte"/>
                <w:noProof/>
              </w:rPr>
              <w:t>1.3.2.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Territoire d’implantation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_Toc472932805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6" w:history="1">
            <w:r w:rsidR="00C2059F" w:rsidRPr="00C77B49">
              <w:rPr>
                <w:rStyle w:val="Lienhypertexte"/>
                <w:noProof/>
              </w:rPr>
              <w:t>1.3.3.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Modalités de transfert et du portage de la MAIA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_Toc472932806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7" w:history="1">
            <w:r w:rsidR="00C2059F" w:rsidRPr="00C77B49">
              <w:rPr>
                <w:rStyle w:val="Lienhypertexte"/>
                <w:noProof/>
              </w:rPr>
              <w:t>1.3.4.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Modalités de financement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_Toc472932807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8" w:history="1">
            <w:r w:rsidR="00C2059F" w:rsidRPr="00C77B49">
              <w:rPr>
                <w:rStyle w:val="Lienhypertexte"/>
                <w:noProof/>
              </w:rPr>
              <w:t>2.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Critères de sélection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_Toc472932808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09" w:history="1">
            <w:r w:rsidR="00C2059F" w:rsidRPr="00C77B49">
              <w:rPr>
                <w:rStyle w:val="Lienhypertexte"/>
                <w:noProof/>
              </w:rPr>
              <w:t>2.1.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Critères de sélection des dispositifs d’intégration MAIA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_Toc472932809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10" w:history="1">
            <w:r w:rsidR="00C2059F" w:rsidRPr="00C77B49">
              <w:rPr>
                <w:rStyle w:val="Lienhypertexte"/>
                <w:noProof/>
              </w:rPr>
              <w:t>2.2.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Modalités d’évaluation des projets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_Toc472932810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11" w:history="1">
            <w:r w:rsidR="00C2059F" w:rsidRPr="00C77B49">
              <w:rPr>
                <w:rStyle w:val="Lienhypertexte"/>
                <w:noProof/>
              </w:rPr>
              <w:t>3.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Calendrier de mise en œuvre et dossier de candidature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_Toc472932811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12" w:history="1">
            <w:r w:rsidR="00C2059F" w:rsidRPr="00C77B49">
              <w:rPr>
                <w:rStyle w:val="Lienhypertexte"/>
                <w:noProof/>
              </w:rPr>
              <w:t>3.1.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Calendrier de déploiement du dispositif intégré MAIA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_Toc472932812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13" w:history="1">
            <w:r w:rsidR="00C2059F" w:rsidRPr="00C77B49">
              <w:rPr>
                <w:rStyle w:val="Lienhypertexte"/>
                <w:noProof/>
              </w:rPr>
              <w:t>3.2.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Délai et modalités de dépôt des dossiers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_Toc472932813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C2059F" w:rsidRDefault="00720639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2932814" w:history="1">
            <w:r w:rsidR="00C2059F" w:rsidRPr="00C77B49">
              <w:rPr>
                <w:rStyle w:val="Lienhypertexte"/>
                <w:noProof/>
              </w:rPr>
              <w:t>3.3.</w:t>
            </w:r>
            <w:r w:rsidR="00C2059F">
              <w:rPr>
                <w:rFonts w:eastAsiaTheme="minorEastAsia"/>
                <w:noProof/>
                <w:lang w:eastAsia="fr-FR"/>
              </w:rPr>
              <w:tab/>
            </w:r>
            <w:r w:rsidR="00C2059F" w:rsidRPr="00C77B49">
              <w:rPr>
                <w:rStyle w:val="Lienhypertexte"/>
                <w:noProof/>
              </w:rPr>
              <w:t>Contenu du dossier de candidature</w:t>
            </w:r>
            <w:r w:rsidR="00C2059F">
              <w:rPr>
                <w:noProof/>
                <w:webHidden/>
              </w:rPr>
              <w:tab/>
            </w:r>
            <w:r w:rsidR="00C2059F">
              <w:rPr>
                <w:noProof/>
                <w:webHidden/>
              </w:rPr>
              <w:fldChar w:fldCharType="begin"/>
            </w:r>
            <w:r w:rsidR="00C2059F">
              <w:rPr>
                <w:noProof/>
                <w:webHidden/>
              </w:rPr>
              <w:instrText xml:space="preserve"> PAGEREF _Toc472932814 \h </w:instrText>
            </w:r>
            <w:r w:rsidR="00C2059F">
              <w:rPr>
                <w:noProof/>
                <w:webHidden/>
              </w:rPr>
            </w:r>
            <w:r w:rsidR="00C205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2059F">
              <w:rPr>
                <w:noProof/>
                <w:webHidden/>
              </w:rPr>
              <w:fldChar w:fldCharType="end"/>
            </w:r>
          </w:hyperlink>
        </w:p>
        <w:p w:rsidR="002F0C4C" w:rsidRDefault="00BC7DB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2F0C4C" w:rsidRDefault="002F0C4C">
          <w:pPr>
            <w:rPr>
              <w:b/>
              <w:bCs/>
            </w:rPr>
          </w:pPr>
        </w:p>
        <w:p w:rsidR="00BC7DB5" w:rsidRDefault="002F0C4C">
          <w:r w:rsidRPr="002F0C4C">
            <w:rPr>
              <w:b/>
              <w:bCs/>
              <w:u w:val="single"/>
            </w:rPr>
            <w:t>Annexe 2</w:t>
          </w:r>
          <w:r>
            <w:rPr>
              <w:b/>
              <w:bCs/>
            </w:rPr>
            <w:t> :</w:t>
          </w:r>
          <w:r>
            <w:rPr>
              <w:b/>
              <w:bCs/>
            </w:rPr>
            <w:tab/>
          </w:r>
          <w:r w:rsidRPr="002F0C4C">
            <w:rPr>
              <w:bCs/>
            </w:rPr>
            <w:t>Dossier de financement des projets de MAIA</w:t>
          </w:r>
          <w:r>
            <w:rPr>
              <w:bCs/>
            </w:rPr>
            <w:t>…………………………………………………………….8</w:t>
          </w:r>
        </w:p>
      </w:sdtContent>
    </w:sdt>
    <w:p w:rsidR="00BC7DB5" w:rsidRDefault="00BC7DB5">
      <w:pPr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br w:type="page"/>
      </w:r>
    </w:p>
    <w:p w:rsidR="008C1BFC" w:rsidRPr="007A6F17" w:rsidRDefault="007A6F17" w:rsidP="006E1228">
      <w:pPr>
        <w:pStyle w:val="Titre1"/>
      </w:pPr>
      <w:bookmarkStart w:id="0" w:name="_Toc472932800"/>
      <w:r>
        <w:lastRenderedPageBreak/>
        <w:t>1.</w:t>
      </w:r>
      <w:r w:rsidR="006E1228">
        <w:tab/>
        <w:t>Objet de l’appel à candidatures et nature de l’intervention envisagée</w:t>
      </w:r>
      <w:bookmarkEnd w:id="0"/>
    </w:p>
    <w:p w:rsidR="008C1BFC" w:rsidRPr="007A6F17" w:rsidRDefault="006E1228" w:rsidP="006E1228">
      <w:pPr>
        <w:pStyle w:val="Titre2"/>
      </w:pPr>
      <w:bookmarkStart w:id="1" w:name="_Toc472932801"/>
      <w:r>
        <w:t>1.1.</w:t>
      </w:r>
      <w:r>
        <w:tab/>
      </w:r>
      <w:r w:rsidR="008C1BFC" w:rsidRPr="007A6F17">
        <w:t>Les éléments de contexte</w:t>
      </w:r>
      <w:bookmarkEnd w:id="1"/>
      <w:r w:rsidR="008C1BFC" w:rsidRPr="007A6F17">
        <w:t xml:space="preserve"> </w:t>
      </w:r>
    </w:p>
    <w:p w:rsidR="008A303F" w:rsidRDefault="008A303F" w:rsidP="008A303F">
      <w:pPr>
        <w:pStyle w:val="Default"/>
        <w:jc w:val="both"/>
        <w:rPr>
          <w:sz w:val="22"/>
          <w:szCs w:val="22"/>
        </w:rPr>
      </w:pPr>
      <w:r w:rsidRPr="008A303F">
        <w:rPr>
          <w:sz w:val="22"/>
          <w:szCs w:val="22"/>
        </w:rPr>
        <w:t>En France, le système de soins et d’aides auprès des personnes en perte d’autonomie se caractérise par des fragmentations multiples au niveau de l’organisation et du financement. Face à ce constat, la méthode d’intégration MAIA a pour objectif d’homogénéiser les pratiques de l’ensemble des acteurs des secteurs sanitaire, médico-social et social en vue de répondre aux besoins de la population et de simplifier les parcours de soin et de vie.</w:t>
      </w:r>
    </w:p>
    <w:p w:rsidR="008A303F" w:rsidRPr="008A303F" w:rsidRDefault="008A303F" w:rsidP="008A303F">
      <w:pPr>
        <w:pStyle w:val="Default"/>
        <w:jc w:val="both"/>
        <w:rPr>
          <w:sz w:val="22"/>
          <w:szCs w:val="22"/>
        </w:rPr>
      </w:pPr>
    </w:p>
    <w:p w:rsidR="008A303F" w:rsidRDefault="008A303F" w:rsidP="008A303F">
      <w:pPr>
        <w:pStyle w:val="Default"/>
        <w:jc w:val="both"/>
        <w:rPr>
          <w:sz w:val="22"/>
          <w:szCs w:val="22"/>
        </w:rPr>
      </w:pPr>
      <w:r w:rsidRPr="008A303F">
        <w:rPr>
          <w:sz w:val="22"/>
          <w:szCs w:val="22"/>
        </w:rPr>
        <w:t>La MAIA est une méthode de travail commune entre professionnels/acteurs auprès des personnes âgées, qui permet de créer un partenariat coresponsable de l’offre de soins, d’aides et d’accompagnement, proposée/ disponible sur un territoire infra-départemental.</w:t>
      </w:r>
    </w:p>
    <w:p w:rsidR="008A303F" w:rsidRPr="008A303F" w:rsidRDefault="008A303F" w:rsidP="008A303F">
      <w:pPr>
        <w:pStyle w:val="Default"/>
        <w:jc w:val="both"/>
        <w:rPr>
          <w:sz w:val="22"/>
          <w:szCs w:val="22"/>
        </w:rPr>
      </w:pPr>
    </w:p>
    <w:p w:rsidR="008A303F" w:rsidRDefault="008A303F" w:rsidP="008A303F">
      <w:pPr>
        <w:pStyle w:val="Default"/>
        <w:jc w:val="both"/>
        <w:rPr>
          <w:sz w:val="22"/>
          <w:szCs w:val="22"/>
        </w:rPr>
      </w:pPr>
      <w:r w:rsidRPr="008A303F">
        <w:rPr>
          <w:sz w:val="22"/>
          <w:szCs w:val="22"/>
        </w:rPr>
        <w:t xml:space="preserve">La MAIA s’adresse </w:t>
      </w:r>
      <w:r w:rsidR="00C40804">
        <w:rPr>
          <w:sz w:val="22"/>
          <w:szCs w:val="22"/>
        </w:rPr>
        <w:t xml:space="preserve">donc </w:t>
      </w:r>
      <w:r w:rsidRPr="008A303F">
        <w:rPr>
          <w:sz w:val="22"/>
          <w:szCs w:val="22"/>
        </w:rPr>
        <w:t>à toutes les personnes âgées en perte d’autonomie fonctionnelle, quelle que soit la nature de leurs besoins.</w:t>
      </w:r>
    </w:p>
    <w:p w:rsidR="008A303F" w:rsidRDefault="008A303F" w:rsidP="00D95772">
      <w:pPr>
        <w:pStyle w:val="Default"/>
        <w:jc w:val="both"/>
        <w:rPr>
          <w:sz w:val="22"/>
          <w:szCs w:val="22"/>
        </w:rPr>
      </w:pPr>
    </w:p>
    <w:p w:rsidR="004A0204" w:rsidRDefault="004A0204" w:rsidP="004A0204">
      <w:pPr>
        <w:pStyle w:val="Default"/>
        <w:jc w:val="both"/>
        <w:rPr>
          <w:sz w:val="22"/>
          <w:szCs w:val="22"/>
        </w:rPr>
      </w:pPr>
      <w:r w:rsidRPr="004A0204">
        <w:rPr>
          <w:sz w:val="22"/>
          <w:szCs w:val="22"/>
        </w:rPr>
        <w:t>Sur la base des expérimentations, la généralisation des MAIA a été décidée au dernier semestre 2010. Une base juridique a été donnée aux MAIA dans la loi de financement de la sécurité sociale pour 2011 et leur déploiement</w:t>
      </w:r>
      <w:r w:rsidR="00794850">
        <w:rPr>
          <w:sz w:val="22"/>
          <w:szCs w:val="22"/>
        </w:rPr>
        <w:t xml:space="preserve">, </w:t>
      </w:r>
      <w:r w:rsidRPr="004A0204">
        <w:rPr>
          <w:sz w:val="22"/>
          <w:szCs w:val="22"/>
        </w:rPr>
        <w:t xml:space="preserve">débuté en 2011 avec le financement </w:t>
      </w:r>
      <w:r>
        <w:rPr>
          <w:sz w:val="22"/>
          <w:szCs w:val="22"/>
        </w:rPr>
        <w:t>de 40  projets, s’est poursuivi</w:t>
      </w:r>
      <w:r w:rsidRPr="004A0204">
        <w:rPr>
          <w:sz w:val="22"/>
          <w:szCs w:val="22"/>
        </w:rPr>
        <w:t xml:space="preserve"> en 2012, puis en 2013  avec les financements respectifs de 100 et 50 nouvelles MAIA.</w:t>
      </w:r>
    </w:p>
    <w:p w:rsidR="00D95772" w:rsidRPr="00D95772" w:rsidRDefault="00D95772" w:rsidP="00D95772">
      <w:pPr>
        <w:pStyle w:val="Default"/>
        <w:jc w:val="both"/>
        <w:rPr>
          <w:sz w:val="22"/>
          <w:szCs w:val="22"/>
        </w:rPr>
      </w:pPr>
    </w:p>
    <w:p w:rsidR="00423334" w:rsidRDefault="00D95772" w:rsidP="00D95772">
      <w:pPr>
        <w:pStyle w:val="Default"/>
        <w:jc w:val="both"/>
        <w:rPr>
          <w:sz w:val="22"/>
          <w:szCs w:val="22"/>
        </w:rPr>
      </w:pPr>
      <w:r w:rsidRPr="00D95772">
        <w:rPr>
          <w:sz w:val="22"/>
          <w:szCs w:val="22"/>
        </w:rPr>
        <w:t xml:space="preserve">La région </w:t>
      </w:r>
      <w:r w:rsidR="00F51D93">
        <w:rPr>
          <w:sz w:val="22"/>
          <w:szCs w:val="22"/>
        </w:rPr>
        <w:t>de La Réunion</w:t>
      </w:r>
      <w:r w:rsidRPr="00D95772">
        <w:rPr>
          <w:sz w:val="22"/>
          <w:szCs w:val="22"/>
        </w:rPr>
        <w:t xml:space="preserve"> est actuellement couverte </w:t>
      </w:r>
      <w:r w:rsidR="00F51D93">
        <w:rPr>
          <w:sz w:val="22"/>
          <w:szCs w:val="22"/>
        </w:rPr>
        <w:t>par trois</w:t>
      </w:r>
      <w:r w:rsidR="00E60083">
        <w:rPr>
          <w:sz w:val="22"/>
          <w:szCs w:val="22"/>
        </w:rPr>
        <w:t xml:space="preserve"> MAIA</w:t>
      </w:r>
      <w:r w:rsidR="00F51D93">
        <w:rPr>
          <w:sz w:val="22"/>
          <w:szCs w:val="22"/>
        </w:rPr>
        <w:t> :</w:t>
      </w:r>
    </w:p>
    <w:p w:rsidR="007F5A12" w:rsidRDefault="007F5A12" w:rsidP="007F5A1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une MAIA nord-est créée en 2011,</w:t>
      </w:r>
    </w:p>
    <w:p w:rsidR="007F5A12" w:rsidRDefault="007F5A12" w:rsidP="007F5A1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une MAIA sud installée en 2012,</w:t>
      </w:r>
    </w:p>
    <w:p w:rsidR="00F51D93" w:rsidRDefault="007F5A12" w:rsidP="007F5A1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une MAIA ouest créée en 2013.</w:t>
      </w:r>
    </w:p>
    <w:p w:rsidR="00E60083" w:rsidRDefault="00E60083" w:rsidP="00D95772">
      <w:pPr>
        <w:pStyle w:val="Default"/>
        <w:jc w:val="both"/>
        <w:rPr>
          <w:sz w:val="22"/>
          <w:szCs w:val="22"/>
        </w:rPr>
      </w:pPr>
    </w:p>
    <w:p w:rsidR="004A0204" w:rsidRDefault="004A0204" w:rsidP="004A0204">
      <w:pPr>
        <w:pStyle w:val="Default"/>
        <w:jc w:val="both"/>
        <w:rPr>
          <w:sz w:val="22"/>
          <w:szCs w:val="22"/>
        </w:rPr>
      </w:pPr>
      <w:r w:rsidRPr="00D95772">
        <w:rPr>
          <w:sz w:val="22"/>
          <w:szCs w:val="22"/>
        </w:rPr>
        <w:t>La mesure n°</w:t>
      </w:r>
      <w:r>
        <w:rPr>
          <w:sz w:val="22"/>
          <w:szCs w:val="22"/>
        </w:rPr>
        <w:t xml:space="preserve"> </w:t>
      </w:r>
      <w:r w:rsidRPr="00D95772">
        <w:rPr>
          <w:sz w:val="22"/>
          <w:szCs w:val="22"/>
        </w:rPr>
        <w:t>34 du plan maladies neurodégénératives prévoit la poursuite du déploiement des MAIA initié dans le cad</w:t>
      </w:r>
      <w:r>
        <w:rPr>
          <w:sz w:val="22"/>
          <w:szCs w:val="22"/>
        </w:rPr>
        <w:t>re du Plan Alzheimer 2008-2012.</w:t>
      </w:r>
    </w:p>
    <w:p w:rsidR="004A0204" w:rsidRPr="004A0204" w:rsidRDefault="004A0204" w:rsidP="004A0204">
      <w:pPr>
        <w:pStyle w:val="Default"/>
        <w:jc w:val="both"/>
        <w:rPr>
          <w:sz w:val="22"/>
          <w:szCs w:val="22"/>
        </w:rPr>
      </w:pPr>
    </w:p>
    <w:p w:rsidR="003F58E0" w:rsidRDefault="004A0204" w:rsidP="004A0204">
      <w:pPr>
        <w:pStyle w:val="Default"/>
        <w:jc w:val="both"/>
        <w:rPr>
          <w:sz w:val="22"/>
          <w:szCs w:val="22"/>
        </w:rPr>
      </w:pPr>
      <w:r w:rsidRPr="004A0204">
        <w:rPr>
          <w:sz w:val="22"/>
          <w:szCs w:val="22"/>
        </w:rPr>
        <w:t xml:space="preserve">A ce titre, La Réunion a bénéficié en </w:t>
      </w:r>
      <w:r>
        <w:rPr>
          <w:sz w:val="22"/>
          <w:szCs w:val="22"/>
        </w:rPr>
        <w:t>2016</w:t>
      </w:r>
      <w:r w:rsidRPr="004A0204">
        <w:rPr>
          <w:sz w:val="22"/>
          <w:szCs w:val="22"/>
        </w:rPr>
        <w:t xml:space="preserve"> de crédits permettant la création </w:t>
      </w:r>
      <w:r>
        <w:rPr>
          <w:sz w:val="22"/>
          <w:szCs w:val="22"/>
        </w:rPr>
        <w:t>d’une nouvelle</w:t>
      </w:r>
      <w:r w:rsidRPr="004A0204">
        <w:rPr>
          <w:sz w:val="22"/>
          <w:szCs w:val="22"/>
        </w:rPr>
        <w:t xml:space="preserve"> MAIA. L’utilisation de ces crédits permet d’envisager</w:t>
      </w:r>
      <w:r w:rsidRPr="00D80222">
        <w:rPr>
          <w:color w:val="FF0000"/>
          <w:sz w:val="22"/>
          <w:szCs w:val="22"/>
        </w:rPr>
        <w:t xml:space="preserve"> </w:t>
      </w:r>
      <w:r w:rsidRPr="004A0204">
        <w:rPr>
          <w:sz w:val="22"/>
          <w:szCs w:val="22"/>
        </w:rPr>
        <w:t xml:space="preserve">la création d’une </w:t>
      </w:r>
      <w:r>
        <w:rPr>
          <w:sz w:val="22"/>
          <w:szCs w:val="22"/>
        </w:rPr>
        <w:t>quatrième</w:t>
      </w:r>
      <w:r w:rsidRPr="004A0204">
        <w:rPr>
          <w:sz w:val="22"/>
          <w:szCs w:val="22"/>
        </w:rPr>
        <w:t xml:space="preserve"> MAIA destinée à renforcer le dispositif existant et à couvrir le territoire </w:t>
      </w:r>
      <w:r>
        <w:rPr>
          <w:sz w:val="22"/>
          <w:szCs w:val="22"/>
        </w:rPr>
        <w:t>Est</w:t>
      </w:r>
      <w:r w:rsidRPr="004A0204">
        <w:rPr>
          <w:sz w:val="22"/>
          <w:szCs w:val="22"/>
        </w:rPr>
        <w:t xml:space="preserve"> de La Réunion.</w:t>
      </w:r>
    </w:p>
    <w:p w:rsidR="00E60083" w:rsidRDefault="00E60083" w:rsidP="00D95772">
      <w:pPr>
        <w:pStyle w:val="Default"/>
        <w:jc w:val="both"/>
        <w:rPr>
          <w:sz w:val="22"/>
          <w:szCs w:val="22"/>
        </w:rPr>
      </w:pPr>
    </w:p>
    <w:p w:rsidR="008C1BFC" w:rsidRPr="008C1BFC" w:rsidRDefault="004605A7" w:rsidP="006E1228">
      <w:pPr>
        <w:pStyle w:val="Titre2"/>
      </w:pPr>
      <w:bookmarkStart w:id="2" w:name="_Toc472932802"/>
      <w:r>
        <w:t>1.2.</w:t>
      </w:r>
      <w:r>
        <w:tab/>
      </w:r>
      <w:r w:rsidR="008C1BFC" w:rsidRPr="008C1BFC">
        <w:t xml:space="preserve">Le cadre juridique </w:t>
      </w:r>
      <w:r>
        <w:t>l’appel à candidatures</w:t>
      </w:r>
      <w:bookmarkEnd w:id="2"/>
    </w:p>
    <w:p w:rsidR="00A33174" w:rsidRPr="00F51D93" w:rsidRDefault="00A33174" w:rsidP="00A33174">
      <w:pPr>
        <w:pStyle w:val="Default"/>
        <w:jc w:val="both"/>
        <w:rPr>
          <w:b/>
          <w:color w:val="auto"/>
          <w:sz w:val="22"/>
          <w:szCs w:val="22"/>
        </w:rPr>
      </w:pPr>
      <w:r w:rsidRPr="00F51D93">
        <w:rPr>
          <w:b/>
          <w:color w:val="auto"/>
          <w:sz w:val="22"/>
          <w:szCs w:val="22"/>
        </w:rPr>
        <w:t xml:space="preserve">Cadre légal : </w:t>
      </w:r>
    </w:p>
    <w:p w:rsidR="00A33174" w:rsidRPr="00A33174" w:rsidRDefault="00A33174" w:rsidP="00F3219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3219C">
        <w:rPr>
          <w:color w:val="auto"/>
          <w:sz w:val="22"/>
          <w:szCs w:val="22"/>
          <w:u w:val="single"/>
        </w:rPr>
        <w:t>L’article L. 113-3 du Code de l’action sociale et des familles</w:t>
      </w:r>
      <w:r w:rsidRPr="00A33174">
        <w:rPr>
          <w:color w:val="auto"/>
          <w:sz w:val="22"/>
          <w:szCs w:val="22"/>
        </w:rPr>
        <w:t xml:space="preserve"> (CASF), modifié par la loi n° 2015-1776 du 28 décembre 2015, donne la définition de MAIA et précise le cadre juridique d’échanges d’informations pour les professionnels </w:t>
      </w:r>
      <w:r>
        <w:rPr>
          <w:color w:val="auto"/>
          <w:sz w:val="22"/>
          <w:szCs w:val="22"/>
        </w:rPr>
        <w:t>mettant en œuvre cette méthode.</w:t>
      </w:r>
    </w:p>
    <w:p w:rsidR="00A33174" w:rsidRPr="00A33174" w:rsidRDefault="00A33174" w:rsidP="00F3219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3219C">
        <w:rPr>
          <w:color w:val="auto"/>
          <w:sz w:val="22"/>
          <w:szCs w:val="22"/>
          <w:u w:val="single"/>
        </w:rPr>
        <w:t>L’article L. 14-10-5 du CASF</w:t>
      </w:r>
      <w:r w:rsidRPr="00A33174">
        <w:rPr>
          <w:color w:val="auto"/>
          <w:sz w:val="22"/>
          <w:szCs w:val="22"/>
        </w:rPr>
        <w:t>, modifié par la loi n°2015-1702 du 21 décembre 2015, fixe les modalités de financement des MAIA (section I du budget de la CNSA).</w:t>
      </w:r>
    </w:p>
    <w:p w:rsidR="00A33174" w:rsidRPr="00A33174" w:rsidRDefault="00A33174" w:rsidP="00F3219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3219C">
        <w:rPr>
          <w:color w:val="auto"/>
          <w:sz w:val="22"/>
          <w:szCs w:val="22"/>
          <w:u w:val="single"/>
        </w:rPr>
        <w:t>L’article L. 1431-2 du Code de la santé publique</w:t>
      </w:r>
      <w:r w:rsidRPr="00A33174">
        <w:rPr>
          <w:color w:val="auto"/>
          <w:sz w:val="22"/>
          <w:szCs w:val="22"/>
        </w:rPr>
        <w:t>, modifié par la loi n°2016-41 du 26 janvier 2016, précise les missions et compétences des ARS qui financent les dispositifs et s’assurent du respect du cahier des charges MAIA.</w:t>
      </w:r>
    </w:p>
    <w:p w:rsidR="00A33174" w:rsidRPr="00A33174" w:rsidRDefault="00A33174" w:rsidP="00A33174">
      <w:pPr>
        <w:pStyle w:val="Default"/>
        <w:jc w:val="both"/>
        <w:rPr>
          <w:color w:val="auto"/>
          <w:sz w:val="22"/>
          <w:szCs w:val="22"/>
        </w:rPr>
      </w:pPr>
    </w:p>
    <w:p w:rsidR="00A33174" w:rsidRPr="00F51D93" w:rsidRDefault="00A33174" w:rsidP="00A33174">
      <w:pPr>
        <w:pStyle w:val="Default"/>
        <w:jc w:val="both"/>
        <w:rPr>
          <w:b/>
          <w:color w:val="auto"/>
          <w:sz w:val="22"/>
          <w:szCs w:val="22"/>
        </w:rPr>
      </w:pPr>
      <w:r w:rsidRPr="00F51D93">
        <w:rPr>
          <w:b/>
          <w:color w:val="auto"/>
          <w:sz w:val="22"/>
          <w:szCs w:val="22"/>
        </w:rPr>
        <w:t>Cadre réglementaire :</w:t>
      </w:r>
    </w:p>
    <w:p w:rsidR="00A33174" w:rsidRPr="00A33174" w:rsidRDefault="00A33174" w:rsidP="00F3219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3219C">
        <w:rPr>
          <w:color w:val="auto"/>
          <w:sz w:val="22"/>
          <w:szCs w:val="22"/>
          <w:u w:val="single"/>
        </w:rPr>
        <w:t>Le décret n° 2011-1210 du 29 septembre 2011</w:t>
      </w:r>
      <w:r w:rsidRPr="00A33174">
        <w:rPr>
          <w:color w:val="auto"/>
          <w:sz w:val="22"/>
          <w:szCs w:val="22"/>
        </w:rPr>
        <w:t xml:space="preserve"> approuvant le cahier des charges des MAIA.</w:t>
      </w:r>
    </w:p>
    <w:p w:rsidR="00F3219C" w:rsidRPr="000C5F88" w:rsidRDefault="00A33174" w:rsidP="000C5F88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A33174">
        <w:rPr>
          <w:color w:val="auto"/>
          <w:sz w:val="22"/>
          <w:szCs w:val="22"/>
        </w:rPr>
        <w:t>Chaque année, une circulaire fixe les conditions du déploiement des nouveaux dispositifs MAIA.</w:t>
      </w:r>
      <w:r w:rsidR="00F3219C">
        <w:rPr>
          <w:color w:val="auto"/>
          <w:sz w:val="22"/>
          <w:szCs w:val="22"/>
        </w:rPr>
        <w:t xml:space="preserve"> Celle dans laquelle s’inscrit le présent appel est </w:t>
      </w:r>
      <w:r w:rsidR="00F3219C" w:rsidRPr="00F51D93">
        <w:rPr>
          <w:color w:val="auto"/>
          <w:sz w:val="22"/>
          <w:szCs w:val="22"/>
          <w:u w:val="single"/>
        </w:rPr>
        <w:t xml:space="preserve">l’instruction n° </w:t>
      </w:r>
      <w:r w:rsidR="00F3219C" w:rsidRPr="00F51D93">
        <w:rPr>
          <w:color w:val="auto"/>
          <w:sz w:val="22"/>
          <w:szCs w:val="22"/>
          <w:u w:val="single"/>
        </w:rPr>
        <w:lastRenderedPageBreak/>
        <w:t xml:space="preserve">DGCS/SD3A/DGOS/CNSA/2016/124 du </w:t>
      </w:r>
      <w:r w:rsidR="00FB00C8" w:rsidRPr="0000175C">
        <w:rPr>
          <w:color w:val="000000" w:themeColor="text1"/>
          <w:sz w:val="22"/>
          <w:szCs w:val="22"/>
          <w:u w:val="single"/>
        </w:rPr>
        <w:t>18</w:t>
      </w:r>
      <w:r w:rsidR="00FB00C8">
        <w:rPr>
          <w:color w:val="000000" w:themeColor="text1"/>
          <w:sz w:val="22"/>
          <w:szCs w:val="22"/>
          <w:u w:val="single"/>
        </w:rPr>
        <w:t xml:space="preserve"> </w:t>
      </w:r>
      <w:r w:rsidR="00F3219C" w:rsidRPr="000C5F88">
        <w:rPr>
          <w:color w:val="auto"/>
          <w:sz w:val="22"/>
          <w:szCs w:val="22"/>
          <w:u w:val="single"/>
        </w:rPr>
        <w:t>avril 2016</w:t>
      </w:r>
      <w:r w:rsidR="00F3219C" w:rsidRPr="000C5F88">
        <w:rPr>
          <w:color w:val="auto"/>
          <w:sz w:val="22"/>
          <w:szCs w:val="22"/>
        </w:rPr>
        <w:t xml:space="preserve"> relative aux appels à</w:t>
      </w:r>
      <w:r w:rsidR="00F51D93" w:rsidRPr="000C5F88">
        <w:rPr>
          <w:color w:val="auto"/>
          <w:sz w:val="22"/>
          <w:szCs w:val="22"/>
        </w:rPr>
        <w:t xml:space="preserve"> candidatures pour le déploiement des dispositifs MAIA au titre de l’année 2016</w:t>
      </w:r>
    </w:p>
    <w:p w:rsidR="00DA2BE3" w:rsidRDefault="00A33174" w:rsidP="00F3219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3219C">
        <w:rPr>
          <w:color w:val="auto"/>
          <w:sz w:val="22"/>
          <w:szCs w:val="22"/>
          <w:u w:val="single"/>
        </w:rPr>
        <w:t>L’arrêté du 16 novembre 2012</w:t>
      </w:r>
      <w:r w:rsidRPr="00A33174">
        <w:rPr>
          <w:color w:val="auto"/>
          <w:sz w:val="22"/>
          <w:szCs w:val="22"/>
        </w:rPr>
        <w:t xml:space="preserve"> fixe le référentiel d’activités et de compétences des gestionnaires de cas.</w:t>
      </w:r>
    </w:p>
    <w:p w:rsidR="00794850" w:rsidRDefault="00794850" w:rsidP="00794850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C1BFC" w:rsidRPr="008C1BFC" w:rsidRDefault="000500D7" w:rsidP="006E1228">
      <w:pPr>
        <w:pStyle w:val="Titre2"/>
      </w:pPr>
      <w:bookmarkStart w:id="3" w:name="_Toc472932803"/>
      <w:r>
        <w:t>1.3</w:t>
      </w:r>
      <w:r w:rsidR="000D2280">
        <w:t>.</w:t>
      </w:r>
      <w:r w:rsidR="000D2280">
        <w:tab/>
      </w:r>
      <w:r w:rsidR="008C1BFC" w:rsidRPr="008C1BFC">
        <w:t xml:space="preserve">Les caractéristiques </w:t>
      </w:r>
      <w:r w:rsidR="005E4471">
        <w:t>du projet</w:t>
      </w:r>
      <w:bookmarkEnd w:id="3"/>
    </w:p>
    <w:p w:rsidR="00C83C5D" w:rsidRPr="00C83C5D" w:rsidRDefault="000500D7" w:rsidP="000500D7">
      <w:pPr>
        <w:pStyle w:val="Titre3"/>
      </w:pPr>
      <w:bookmarkStart w:id="4" w:name="_Toc472932804"/>
      <w:r>
        <w:t>1.3</w:t>
      </w:r>
      <w:r w:rsidR="00C83C5D">
        <w:t>.1.</w:t>
      </w:r>
      <w:r w:rsidR="00C83C5D">
        <w:tab/>
      </w:r>
      <w:r w:rsidR="00C83C5D" w:rsidRPr="00C83C5D">
        <w:t>Structures porteuses éligibles</w:t>
      </w:r>
      <w:bookmarkEnd w:id="4"/>
    </w:p>
    <w:p w:rsidR="00C83C5D" w:rsidRDefault="00C83C5D" w:rsidP="00F53195">
      <w:pPr>
        <w:spacing w:after="0" w:line="240" w:lineRule="auto"/>
        <w:jc w:val="both"/>
        <w:rPr>
          <w:rFonts w:ascii="Arial" w:hAnsi="Arial" w:cs="Arial"/>
        </w:rPr>
      </w:pPr>
      <w:r w:rsidRPr="00C83C5D">
        <w:rPr>
          <w:rFonts w:ascii="Arial" w:hAnsi="Arial" w:cs="Arial"/>
        </w:rPr>
        <w:t xml:space="preserve">Le porteur d’un projet MAIA doit poursuivre un but non lucratif (association, établissement public, etc…) et </w:t>
      </w:r>
      <w:r>
        <w:rPr>
          <w:rFonts w:ascii="Arial" w:hAnsi="Arial" w:cs="Arial"/>
        </w:rPr>
        <w:t>être</w:t>
      </w:r>
      <w:r w:rsidRPr="00C83C5D">
        <w:rPr>
          <w:rFonts w:ascii="Arial" w:hAnsi="Arial" w:cs="Arial"/>
        </w:rPr>
        <w:t xml:space="preserve"> un acteur de la coordination, légitime pour construire un partenariat intégré sur un territoire.</w:t>
      </w:r>
    </w:p>
    <w:p w:rsidR="00C83C5D" w:rsidRPr="00C83C5D" w:rsidRDefault="00C83C5D" w:rsidP="00C83C5D">
      <w:pPr>
        <w:rPr>
          <w:rFonts w:ascii="Arial" w:hAnsi="Arial" w:cs="Arial"/>
        </w:rPr>
      </w:pPr>
    </w:p>
    <w:p w:rsidR="00C83C5D" w:rsidRPr="00C83C5D" w:rsidRDefault="000500D7" w:rsidP="00924A6B">
      <w:pPr>
        <w:pStyle w:val="Titre3"/>
      </w:pPr>
      <w:bookmarkStart w:id="5" w:name="_Toc472932805"/>
      <w:r>
        <w:t>1.3.</w:t>
      </w:r>
      <w:r w:rsidR="00C83C5D">
        <w:t>2.</w:t>
      </w:r>
      <w:r w:rsidR="00C83C5D">
        <w:tab/>
      </w:r>
      <w:r w:rsidR="00C83C5D" w:rsidRPr="00C83C5D">
        <w:t>Territoire d’implantation</w:t>
      </w:r>
      <w:bookmarkEnd w:id="5"/>
    </w:p>
    <w:p w:rsidR="00C83C5D" w:rsidRPr="00C83C5D" w:rsidRDefault="00C83C5D" w:rsidP="00F53195">
      <w:pPr>
        <w:spacing w:after="0" w:line="240" w:lineRule="auto"/>
        <w:jc w:val="both"/>
        <w:rPr>
          <w:rFonts w:ascii="Arial" w:hAnsi="Arial" w:cs="Arial"/>
        </w:rPr>
      </w:pPr>
      <w:r w:rsidRPr="00C83C5D">
        <w:rPr>
          <w:rFonts w:ascii="Arial" w:hAnsi="Arial" w:cs="Arial"/>
        </w:rPr>
        <w:t xml:space="preserve">A ce jour, la région </w:t>
      </w:r>
      <w:r>
        <w:rPr>
          <w:rFonts w:ascii="Arial" w:hAnsi="Arial" w:cs="Arial"/>
        </w:rPr>
        <w:t>Réunion compte 3</w:t>
      </w:r>
      <w:r w:rsidRPr="00C83C5D">
        <w:rPr>
          <w:rFonts w:ascii="Arial" w:hAnsi="Arial" w:cs="Arial"/>
        </w:rPr>
        <w:t xml:space="preserve"> MAIA en fonctionnement. L’Agence régionale de santé </w:t>
      </w:r>
      <w:r>
        <w:rPr>
          <w:rFonts w:ascii="Arial" w:hAnsi="Arial" w:cs="Arial"/>
        </w:rPr>
        <w:t>Océan Indien</w:t>
      </w:r>
      <w:r w:rsidRPr="00C83C5D">
        <w:rPr>
          <w:rFonts w:ascii="Arial" w:hAnsi="Arial" w:cs="Arial"/>
        </w:rPr>
        <w:t xml:space="preserve"> organise un nouvel appel à candidatures pour le redéploiement d’une MAIA sur le territoire Est du département.</w:t>
      </w:r>
    </w:p>
    <w:p w:rsidR="00C83C5D" w:rsidRPr="00C83C5D" w:rsidRDefault="00C83C5D" w:rsidP="00F53195">
      <w:pPr>
        <w:spacing w:after="0" w:line="240" w:lineRule="auto"/>
        <w:jc w:val="both"/>
        <w:rPr>
          <w:rFonts w:ascii="Arial" w:hAnsi="Arial" w:cs="Arial"/>
        </w:rPr>
      </w:pPr>
      <w:r w:rsidRPr="00C83C5D">
        <w:rPr>
          <w:rFonts w:ascii="Arial" w:hAnsi="Arial" w:cs="Arial"/>
        </w:rPr>
        <w:t xml:space="preserve">Ce territoire est composé actuellement </w:t>
      </w:r>
      <w:r w:rsidR="00FB00C8">
        <w:rPr>
          <w:rFonts w:ascii="Arial" w:hAnsi="Arial" w:cs="Arial"/>
        </w:rPr>
        <w:t xml:space="preserve">des communes </w:t>
      </w:r>
      <w:r w:rsidR="005A74FE">
        <w:rPr>
          <w:rFonts w:ascii="Arial" w:hAnsi="Arial" w:cs="Arial"/>
        </w:rPr>
        <w:t xml:space="preserve">de </w:t>
      </w:r>
      <w:r w:rsidR="005A74FE" w:rsidRPr="005A74FE">
        <w:rPr>
          <w:rFonts w:ascii="Arial" w:hAnsi="Arial" w:cs="Arial"/>
        </w:rPr>
        <w:t>Bras-Panon, La Plaine-des-Palmistes</w:t>
      </w:r>
      <w:r w:rsidR="005A74FE" w:rsidRPr="0000175C">
        <w:rPr>
          <w:rFonts w:ascii="Arial" w:hAnsi="Arial" w:cs="Arial"/>
        </w:rPr>
        <w:t>, Saint-André,</w:t>
      </w:r>
      <w:r w:rsidR="005A74FE" w:rsidRPr="005A74FE">
        <w:rPr>
          <w:rFonts w:ascii="Arial" w:hAnsi="Arial" w:cs="Arial"/>
        </w:rPr>
        <w:t xml:space="preserve"> Saint-Benoit, Sainte-Rose et Salazie</w:t>
      </w:r>
      <w:r w:rsidR="005A74FE">
        <w:rPr>
          <w:rFonts w:ascii="Arial" w:hAnsi="Arial" w:cs="Arial"/>
        </w:rPr>
        <w:t>.</w:t>
      </w:r>
    </w:p>
    <w:p w:rsidR="008C1BFC" w:rsidRPr="00C83C5D" w:rsidRDefault="00C83C5D" w:rsidP="00F53195">
      <w:pPr>
        <w:spacing w:after="0" w:line="240" w:lineRule="auto"/>
        <w:jc w:val="both"/>
        <w:rPr>
          <w:rFonts w:ascii="Arial" w:hAnsi="Arial" w:cs="Arial"/>
        </w:rPr>
      </w:pPr>
      <w:r w:rsidRPr="00C83C5D">
        <w:rPr>
          <w:rFonts w:ascii="Arial" w:hAnsi="Arial" w:cs="Arial"/>
        </w:rPr>
        <w:t xml:space="preserve">Les candidats analyseront le territoire d’intervention de la MAIA de </w:t>
      </w:r>
      <w:r w:rsidR="004605A7">
        <w:rPr>
          <w:rFonts w:ascii="Arial" w:hAnsi="Arial" w:cs="Arial"/>
        </w:rPr>
        <w:t>la</w:t>
      </w:r>
      <w:r w:rsidRPr="00C83C5D">
        <w:rPr>
          <w:rFonts w:ascii="Arial" w:hAnsi="Arial" w:cs="Arial"/>
        </w:rPr>
        <w:t xml:space="preserve"> zone géographique ciblée et feront une proposition qui englobera la totalité du territoire.</w:t>
      </w:r>
    </w:p>
    <w:p w:rsidR="00D97675" w:rsidRDefault="00D97675" w:rsidP="008E1A3D">
      <w:pPr>
        <w:pStyle w:val="Default"/>
        <w:jc w:val="both"/>
        <w:rPr>
          <w:color w:val="auto"/>
          <w:sz w:val="22"/>
          <w:szCs w:val="22"/>
        </w:rPr>
      </w:pPr>
    </w:p>
    <w:p w:rsidR="00F53195" w:rsidRDefault="000500D7" w:rsidP="000500D7">
      <w:pPr>
        <w:pStyle w:val="Titre3"/>
      </w:pPr>
      <w:bookmarkStart w:id="6" w:name="_Toc472932806"/>
      <w:r>
        <w:t>1.3</w:t>
      </w:r>
      <w:r w:rsidR="00F53195">
        <w:t>.3.</w:t>
      </w:r>
      <w:r w:rsidR="00F53195">
        <w:tab/>
      </w:r>
      <w:r w:rsidR="00F53195" w:rsidRPr="00F53195">
        <w:t>Modalités de transfert et du portage de la MAIA</w:t>
      </w:r>
      <w:bookmarkEnd w:id="6"/>
    </w:p>
    <w:p w:rsidR="00D80222" w:rsidRPr="00BA5E44" w:rsidRDefault="00D80222" w:rsidP="00F53195">
      <w:pPr>
        <w:pStyle w:val="Default"/>
        <w:jc w:val="both"/>
        <w:rPr>
          <w:color w:val="000000" w:themeColor="text1"/>
          <w:sz w:val="22"/>
          <w:szCs w:val="22"/>
        </w:rPr>
      </w:pPr>
      <w:r w:rsidRPr="00BA5E44">
        <w:rPr>
          <w:color w:val="000000" w:themeColor="text1"/>
          <w:sz w:val="22"/>
          <w:szCs w:val="22"/>
        </w:rPr>
        <w:t xml:space="preserve">La MAIA Nord Est a été créée en 2012. Elle couvre aujourd’hui les communes suivantes : Saint Denis, Sainte Marie, Sainte Suzanne, Saint André, Saint Benoit, Bras </w:t>
      </w:r>
      <w:proofErr w:type="spellStart"/>
      <w:r w:rsidRPr="00BA5E44">
        <w:rPr>
          <w:color w:val="000000" w:themeColor="text1"/>
          <w:sz w:val="22"/>
          <w:szCs w:val="22"/>
        </w:rPr>
        <w:t>Panon</w:t>
      </w:r>
      <w:proofErr w:type="spellEnd"/>
      <w:r w:rsidRPr="00BA5E44">
        <w:rPr>
          <w:color w:val="000000" w:themeColor="text1"/>
          <w:sz w:val="22"/>
          <w:szCs w:val="22"/>
        </w:rPr>
        <w:t>, Salazie, Saint Rose</w:t>
      </w:r>
      <w:r w:rsidR="00BA5E44" w:rsidRPr="00BA5E44">
        <w:rPr>
          <w:color w:val="000000" w:themeColor="text1"/>
          <w:sz w:val="22"/>
          <w:szCs w:val="22"/>
        </w:rPr>
        <w:t xml:space="preserve"> et La</w:t>
      </w:r>
      <w:r w:rsidRPr="00BA5E44">
        <w:rPr>
          <w:color w:val="000000" w:themeColor="text1"/>
          <w:sz w:val="22"/>
          <w:szCs w:val="22"/>
        </w:rPr>
        <w:t xml:space="preserve"> Plaine des Palmistes. </w:t>
      </w:r>
    </w:p>
    <w:p w:rsidR="00D80222" w:rsidRPr="00BA5E44" w:rsidRDefault="00D80222" w:rsidP="00F5319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80222" w:rsidRPr="00BA5E44" w:rsidRDefault="00D80222" w:rsidP="00F53195">
      <w:pPr>
        <w:pStyle w:val="Default"/>
        <w:jc w:val="both"/>
        <w:rPr>
          <w:color w:val="000000" w:themeColor="text1"/>
          <w:sz w:val="22"/>
          <w:szCs w:val="22"/>
        </w:rPr>
      </w:pPr>
      <w:r w:rsidRPr="00BA5E44">
        <w:rPr>
          <w:color w:val="000000" w:themeColor="text1"/>
          <w:sz w:val="22"/>
          <w:szCs w:val="22"/>
        </w:rPr>
        <w:t>La création d’une quatrième MAIA sur le territoire Est amène le redécoupage de la couverture du territoire Nord Est</w:t>
      </w:r>
      <w:r w:rsidR="00BA5E44" w:rsidRPr="00BA5E44">
        <w:rPr>
          <w:color w:val="000000" w:themeColor="text1"/>
          <w:sz w:val="22"/>
          <w:szCs w:val="22"/>
        </w:rPr>
        <w:t xml:space="preserve"> de la façon suivante :</w:t>
      </w:r>
    </w:p>
    <w:p w:rsidR="00D80222" w:rsidRPr="00BA5E44" w:rsidRDefault="00D80222" w:rsidP="00D80222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A5E44">
        <w:rPr>
          <w:color w:val="000000" w:themeColor="text1"/>
          <w:sz w:val="22"/>
          <w:szCs w:val="22"/>
        </w:rPr>
        <w:t xml:space="preserve">la MAIA Nord </w:t>
      </w:r>
      <w:r w:rsidR="00BA5E44" w:rsidRPr="00BA5E44">
        <w:rPr>
          <w:color w:val="000000" w:themeColor="text1"/>
          <w:sz w:val="22"/>
          <w:szCs w:val="22"/>
        </w:rPr>
        <w:t>couvrira</w:t>
      </w:r>
      <w:r w:rsidRPr="00BA5E44">
        <w:rPr>
          <w:color w:val="000000" w:themeColor="text1"/>
          <w:sz w:val="22"/>
          <w:szCs w:val="22"/>
        </w:rPr>
        <w:t xml:space="preserve"> les communes </w:t>
      </w:r>
      <w:r w:rsidR="00BA5E44" w:rsidRPr="00BA5E44">
        <w:rPr>
          <w:color w:val="000000" w:themeColor="text1"/>
          <w:sz w:val="22"/>
          <w:szCs w:val="22"/>
        </w:rPr>
        <w:t>de</w:t>
      </w:r>
      <w:r w:rsidRPr="00BA5E44">
        <w:rPr>
          <w:color w:val="000000" w:themeColor="text1"/>
          <w:sz w:val="22"/>
          <w:szCs w:val="22"/>
        </w:rPr>
        <w:t xml:space="preserve"> Saint Denis</w:t>
      </w:r>
      <w:r w:rsidR="00BA5E44" w:rsidRPr="00BA5E44">
        <w:rPr>
          <w:color w:val="000000" w:themeColor="text1"/>
          <w:sz w:val="22"/>
          <w:szCs w:val="22"/>
        </w:rPr>
        <w:t>, Sainte Marie et Sainte Suzanne ;</w:t>
      </w:r>
    </w:p>
    <w:p w:rsidR="00D80222" w:rsidRPr="00BA5E44" w:rsidRDefault="00BA5E44" w:rsidP="00D80222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A5E44">
        <w:rPr>
          <w:color w:val="000000" w:themeColor="text1"/>
          <w:sz w:val="22"/>
          <w:szCs w:val="22"/>
        </w:rPr>
        <w:t>l</w:t>
      </w:r>
      <w:r w:rsidR="00D80222" w:rsidRPr="00BA5E44">
        <w:rPr>
          <w:color w:val="000000" w:themeColor="text1"/>
          <w:sz w:val="22"/>
          <w:szCs w:val="22"/>
        </w:rPr>
        <w:t xml:space="preserve">a MAIA Est </w:t>
      </w:r>
      <w:r w:rsidRPr="00BA5E44">
        <w:rPr>
          <w:color w:val="000000" w:themeColor="text1"/>
          <w:sz w:val="22"/>
          <w:szCs w:val="22"/>
        </w:rPr>
        <w:t>prenant en charge celles référencées au 1.3.2. (cf. ci-dessus)</w:t>
      </w:r>
      <w:r w:rsidR="00D80222" w:rsidRPr="00BA5E44">
        <w:rPr>
          <w:color w:val="000000" w:themeColor="text1"/>
          <w:sz w:val="22"/>
          <w:szCs w:val="22"/>
        </w:rPr>
        <w:t>.</w:t>
      </w:r>
    </w:p>
    <w:p w:rsidR="002E2533" w:rsidRDefault="002E2533" w:rsidP="00F53195">
      <w:pPr>
        <w:pStyle w:val="Default"/>
        <w:jc w:val="both"/>
        <w:rPr>
          <w:color w:val="auto"/>
          <w:sz w:val="22"/>
          <w:szCs w:val="22"/>
        </w:rPr>
      </w:pPr>
    </w:p>
    <w:p w:rsidR="00F53195" w:rsidRPr="00F53195" w:rsidRDefault="00D80222" w:rsidP="00F53195">
      <w:pPr>
        <w:pStyle w:val="Default"/>
        <w:jc w:val="both"/>
        <w:rPr>
          <w:color w:val="auto"/>
          <w:sz w:val="22"/>
          <w:szCs w:val="22"/>
        </w:rPr>
      </w:pPr>
      <w:r w:rsidRPr="00BA5E44">
        <w:rPr>
          <w:color w:val="000000" w:themeColor="text1"/>
          <w:sz w:val="22"/>
          <w:szCs w:val="22"/>
        </w:rPr>
        <w:t>En concertation avec l’ARS, l</w:t>
      </w:r>
      <w:r w:rsidR="00F53195" w:rsidRPr="00BA5E44">
        <w:rPr>
          <w:color w:val="000000" w:themeColor="text1"/>
          <w:sz w:val="22"/>
          <w:szCs w:val="22"/>
        </w:rPr>
        <w:t>e porteur de la MAIA</w:t>
      </w:r>
      <w:r w:rsidR="009D7255" w:rsidRPr="00BA5E44">
        <w:rPr>
          <w:color w:val="000000" w:themeColor="text1"/>
          <w:sz w:val="22"/>
          <w:szCs w:val="22"/>
        </w:rPr>
        <w:t xml:space="preserve"> </w:t>
      </w:r>
      <w:r w:rsidRPr="00BA5E44">
        <w:rPr>
          <w:color w:val="000000" w:themeColor="text1"/>
          <w:sz w:val="22"/>
          <w:szCs w:val="22"/>
        </w:rPr>
        <w:t>Est</w:t>
      </w:r>
      <w:r w:rsidR="00F53195" w:rsidRPr="00BA5E44">
        <w:rPr>
          <w:color w:val="000000" w:themeColor="text1"/>
          <w:sz w:val="22"/>
          <w:szCs w:val="22"/>
        </w:rPr>
        <w:t xml:space="preserve"> devra</w:t>
      </w:r>
      <w:r w:rsidRPr="00BA5E44">
        <w:rPr>
          <w:color w:val="000000" w:themeColor="text1"/>
          <w:sz w:val="22"/>
          <w:szCs w:val="22"/>
        </w:rPr>
        <w:t xml:space="preserve"> </w:t>
      </w:r>
      <w:r w:rsidR="00F53195" w:rsidRPr="00BA5E44">
        <w:rPr>
          <w:color w:val="000000" w:themeColor="text1"/>
          <w:sz w:val="22"/>
          <w:szCs w:val="22"/>
        </w:rPr>
        <w:t>se rapprocher</w:t>
      </w:r>
      <w:r w:rsidRPr="00BA5E44">
        <w:rPr>
          <w:color w:val="000000" w:themeColor="text1"/>
          <w:sz w:val="22"/>
          <w:szCs w:val="22"/>
        </w:rPr>
        <w:t xml:space="preserve"> </w:t>
      </w:r>
      <w:r w:rsidR="00F53195" w:rsidRPr="00BA5E44">
        <w:rPr>
          <w:color w:val="000000" w:themeColor="text1"/>
          <w:sz w:val="22"/>
          <w:szCs w:val="22"/>
        </w:rPr>
        <w:t xml:space="preserve">du gestionnaire </w:t>
      </w:r>
      <w:r w:rsidR="00F53195" w:rsidRPr="00F53195">
        <w:rPr>
          <w:color w:val="auto"/>
          <w:sz w:val="22"/>
          <w:szCs w:val="22"/>
        </w:rPr>
        <w:t xml:space="preserve">actuel </w:t>
      </w:r>
      <w:r>
        <w:rPr>
          <w:color w:val="auto"/>
          <w:sz w:val="22"/>
          <w:szCs w:val="22"/>
        </w:rPr>
        <w:t>de la MAIA Nord Est</w:t>
      </w:r>
      <w:r w:rsidR="00F53195" w:rsidRPr="00F53195">
        <w:rPr>
          <w:color w:val="auto"/>
          <w:sz w:val="22"/>
          <w:szCs w:val="22"/>
        </w:rPr>
        <w:t xml:space="preserve"> afin de définir, dans le cadre du respect de la réglementation en vigueur, les modalités de :</w:t>
      </w:r>
    </w:p>
    <w:p w:rsidR="00F53195" w:rsidRPr="00BA5E44" w:rsidRDefault="00F53195" w:rsidP="00BA5E44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A5E44">
        <w:rPr>
          <w:color w:val="000000" w:themeColor="text1"/>
          <w:sz w:val="22"/>
          <w:szCs w:val="22"/>
        </w:rPr>
        <w:t xml:space="preserve">transfert de l’activité et des données </w:t>
      </w:r>
      <w:r w:rsidR="006241C4" w:rsidRPr="00BA5E44">
        <w:rPr>
          <w:color w:val="000000" w:themeColor="text1"/>
          <w:sz w:val="22"/>
          <w:szCs w:val="22"/>
        </w:rPr>
        <w:t xml:space="preserve">de </w:t>
      </w:r>
      <w:r w:rsidRPr="00BA5E44">
        <w:rPr>
          <w:color w:val="000000" w:themeColor="text1"/>
          <w:sz w:val="22"/>
          <w:szCs w:val="22"/>
        </w:rPr>
        <w:t>gestion de cas</w:t>
      </w:r>
      <w:r w:rsidR="006241C4" w:rsidRPr="00BA5E44">
        <w:rPr>
          <w:color w:val="000000" w:themeColor="text1"/>
          <w:sz w:val="22"/>
          <w:szCs w:val="22"/>
        </w:rPr>
        <w:t xml:space="preserve"> des communes de l’Est</w:t>
      </w:r>
      <w:r w:rsidRPr="00BA5E44">
        <w:rPr>
          <w:color w:val="000000" w:themeColor="text1"/>
          <w:sz w:val="22"/>
          <w:szCs w:val="22"/>
        </w:rPr>
        <w:t xml:space="preserve"> ;</w:t>
      </w:r>
    </w:p>
    <w:p w:rsidR="00F53195" w:rsidRPr="00BA5E44" w:rsidRDefault="00F53195" w:rsidP="00BA5E44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A5E44">
        <w:rPr>
          <w:color w:val="000000" w:themeColor="text1"/>
          <w:sz w:val="22"/>
          <w:szCs w:val="22"/>
        </w:rPr>
        <w:t>transfert des données liées au pilotage de la MAIA</w:t>
      </w:r>
      <w:r w:rsidR="006241C4" w:rsidRPr="00BA5E44">
        <w:rPr>
          <w:color w:val="000000" w:themeColor="text1"/>
          <w:sz w:val="22"/>
          <w:szCs w:val="22"/>
        </w:rPr>
        <w:t xml:space="preserve"> sur les communes de l’Est</w:t>
      </w:r>
      <w:r w:rsidRPr="00BA5E44">
        <w:rPr>
          <w:color w:val="000000" w:themeColor="text1"/>
          <w:sz w:val="22"/>
          <w:szCs w:val="22"/>
        </w:rPr>
        <w:t>.</w:t>
      </w:r>
    </w:p>
    <w:p w:rsidR="009D7255" w:rsidRDefault="009D7255" w:rsidP="00F53195">
      <w:pPr>
        <w:pStyle w:val="Default"/>
        <w:jc w:val="both"/>
        <w:rPr>
          <w:color w:val="auto"/>
          <w:sz w:val="22"/>
          <w:szCs w:val="22"/>
        </w:rPr>
      </w:pPr>
    </w:p>
    <w:p w:rsidR="00F53195" w:rsidRDefault="00F53195" w:rsidP="00F53195">
      <w:pPr>
        <w:pStyle w:val="Default"/>
        <w:jc w:val="both"/>
        <w:rPr>
          <w:color w:val="auto"/>
          <w:sz w:val="22"/>
          <w:szCs w:val="22"/>
        </w:rPr>
      </w:pPr>
      <w:r w:rsidRPr="00F53195">
        <w:rPr>
          <w:color w:val="auto"/>
          <w:sz w:val="22"/>
          <w:szCs w:val="22"/>
        </w:rPr>
        <w:t xml:space="preserve">Le porteur de la MAIA s’engage à recruter un pilote MAIA dès autorisation du dispositif et dans les meilleurs délais. L’ARS </w:t>
      </w:r>
      <w:r w:rsidR="009D7255">
        <w:rPr>
          <w:color w:val="auto"/>
          <w:sz w:val="22"/>
          <w:szCs w:val="22"/>
        </w:rPr>
        <w:t>Océan Indien</w:t>
      </w:r>
      <w:r w:rsidRPr="00F53195">
        <w:rPr>
          <w:color w:val="auto"/>
          <w:sz w:val="22"/>
          <w:szCs w:val="22"/>
        </w:rPr>
        <w:t xml:space="preserve"> validera le profil du candidat dans le cadre </w:t>
      </w:r>
      <w:r w:rsidRPr="00BA5E44">
        <w:rPr>
          <w:color w:val="000000" w:themeColor="text1"/>
          <w:sz w:val="22"/>
          <w:szCs w:val="22"/>
        </w:rPr>
        <w:t>d’un</w:t>
      </w:r>
      <w:r w:rsidR="006241C4" w:rsidRPr="00BA5E44">
        <w:rPr>
          <w:color w:val="000000" w:themeColor="text1"/>
          <w:sz w:val="22"/>
          <w:szCs w:val="22"/>
        </w:rPr>
        <w:t>e commission de recrutement</w:t>
      </w:r>
      <w:r w:rsidRPr="00BA5E44">
        <w:rPr>
          <w:color w:val="000000" w:themeColor="text1"/>
          <w:sz w:val="22"/>
          <w:szCs w:val="22"/>
        </w:rPr>
        <w:t xml:space="preserve">. Le porteur procèdera également au recrutement des </w:t>
      </w:r>
      <w:r w:rsidRPr="00F53195">
        <w:rPr>
          <w:color w:val="auto"/>
          <w:sz w:val="22"/>
          <w:szCs w:val="22"/>
        </w:rPr>
        <w:t>gestionnaires de cas en lien avec le pilote MAIA.</w:t>
      </w:r>
    </w:p>
    <w:p w:rsidR="009D7255" w:rsidRPr="00F53195" w:rsidRDefault="009D7255" w:rsidP="00F53195">
      <w:pPr>
        <w:pStyle w:val="Default"/>
        <w:jc w:val="both"/>
        <w:rPr>
          <w:color w:val="auto"/>
          <w:sz w:val="22"/>
          <w:szCs w:val="22"/>
        </w:rPr>
      </w:pPr>
    </w:p>
    <w:p w:rsidR="00F53195" w:rsidRPr="009D7255" w:rsidRDefault="00DA06CB" w:rsidP="00F53195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DA06CB">
        <w:rPr>
          <w:color w:val="auto"/>
          <w:sz w:val="22"/>
          <w:szCs w:val="22"/>
        </w:rPr>
        <w:t xml:space="preserve">La CNSA a retenu en juin </w:t>
      </w:r>
      <w:r>
        <w:rPr>
          <w:color w:val="auto"/>
          <w:sz w:val="22"/>
          <w:szCs w:val="22"/>
        </w:rPr>
        <w:t>2016</w:t>
      </w:r>
      <w:r w:rsidRPr="00DA06CB">
        <w:rPr>
          <w:color w:val="auto"/>
          <w:sz w:val="22"/>
          <w:szCs w:val="22"/>
        </w:rPr>
        <w:t>, l’outil que devront utiliser tous les gestionnaires de cas pour conduire une évaluation multidimensionnelle à domicile. Il s’agit du volet domicile d’</w:t>
      </w:r>
      <w:proofErr w:type="spellStart"/>
      <w:r w:rsidRPr="00DA06CB">
        <w:rPr>
          <w:color w:val="auto"/>
          <w:sz w:val="22"/>
          <w:szCs w:val="22"/>
        </w:rPr>
        <w:t>interRAI</w:t>
      </w:r>
      <w:proofErr w:type="spellEnd"/>
      <w:r w:rsidRPr="00DA06CB">
        <w:rPr>
          <w:color w:val="auto"/>
          <w:sz w:val="22"/>
          <w:szCs w:val="22"/>
        </w:rPr>
        <w:t xml:space="preserve"> (outil </w:t>
      </w:r>
      <w:proofErr w:type="spellStart"/>
      <w:r w:rsidRPr="00DA06CB">
        <w:rPr>
          <w:color w:val="auto"/>
          <w:sz w:val="22"/>
          <w:szCs w:val="22"/>
        </w:rPr>
        <w:t>interRAI</w:t>
      </w:r>
      <w:proofErr w:type="spellEnd"/>
      <w:r w:rsidRPr="00DA06CB">
        <w:rPr>
          <w:color w:val="auto"/>
          <w:sz w:val="22"/>
          <w:szCs w:val="22"/>
        </w:rPr>
        <w:t xml:space="preserve"> Home Care)</w:t>
      </w:r>
      <w:r>
        <w:rPr>
          <w:color w:val="auto"/>
          <w:sz w:val="22"/>
          <w:szCs w:val="22"/>
        </w:rPr>
        <w:t xml:space="preserve">. </w:t>
      </w:r>
      <w:r w:rsidRPr="00DA06CB">
        <w:rPr>
          <w:color w:val="auto"/>
          <w:sz w:val="22"/>
          <w:szCs w:val="22"/>
        </w:rPr>
        <w:t>Cet outil commun facilitera la concertation interdisciplinaire et l’intégration des services des secteurs sanitaire, social et médico-social. Son utilisation contribuera à une meilleure prise en charge des personnes âgées en perte d’autonomie vivant à domicile et à une meilleure connaissance des besoins de la population suivie en gestion de cas</w:t>
      </w:r>
      <w:r w:rsidRPr="006E1228">
        <w:rPr>
          <w:color w:val="auto"/>
          <w:sz w:val="22"/>
          <w:szCs w:val="22"/>
        </w:rPr>
        <w:t xml:space="preserve">. </w:t>
      </w:r>
      <w:r w:rsidR="00F53195" w:rsidRPr="006E1228">
        <w:rPr>
          <w:color w:val="auto"/>
          <w:sz w:val="22"/>
          <w:szCs w:val="22"/>
        </w:rPr>
        <w:t>Le porteur s’engage</w:t>
      </w:r>
      <w:r w:rsidR="006E1228" w:rsidRPr="006E1228">
        <w:rPr>
          <w:color w:val="auto"/>
          <w:sz w:val="22"/>
          <w:szCs w:val="22"/>
        </w:rPr>
        <w:t>, par conséquent,</w:t>
      </w:r>
      <w:r w:rsidR="00F53195" w:rsidRPr="006E1228">
        <w:rPr>
          <w:color w:val="auto"/>
          <w:sz w:val="22"/>
          <w:szCs w:val="22"/>
        </w:rPr>
        <w:t xml:space="preserve"> à </w:t>
      </w:r>
      <w:r w:rsidR="006E1228" w:rsidRPr="006E1228">
        <w:rPr>
          <w:color w:val="auto"/>
          <w:sz w:val="22"/>
          <w:szCs w:val="22"/>
        </w:rPr>
        <w:t>mettre</w:t>
      </w:r>
      <w:r w:rsidR="00F53195" w:rsidRPr="006E1228">
        <w:rPr>
          <w:color w:val="auto"/>
          <w:sz w:val="22"/>
          <w:szCs w:val="22"/>
        </w:rPr>
        <w:t xml:space="preserve"> en </w:t>
      </w:r>
      <w:r w:rsidR="009D7255" w:rsidRPr="006E1228">
        <w:rPr>
          <w:color w:val="auto"/>
          <w:sz w:val="22"/>
          <w:szCs w:val="22"/>
        </w:rPr>
        <w:t xml:space="preserve">œuvre </w:t>
      </w:r>
      <w:r w:rsidR="006E1228" w:rsidRPr="006E1228">
        <w:rPr>
          <w:color w:val="auto"/>
          <w:sz w:val="22"/>
          <w:szCs w:val="22"/>
        </w:rPr>
        <w:t>ce logiciel. De la même</w:t>
      </w:r>
      <w:r w:rsidR="006E1228">
        <w:rPr>
          <w:color w:val="auto"/>
          <w:sz w:val="22"/>
          <w:szCs w:val="22"/>
        </w:rPr>
        <w:t xml:space="preserve"> façon</w:t>
      </w:r>
      <w:r w:rsidR="006E1228" w:rsidRPr="006E1228">
        <w:rPr>
          <w:color w:val="auto"/>
          <w:sz w:val="22"/>
          <w:szCs w:val="22"/>
        </w:rPr>
        <w:t xml:space="preserve">, il aura à contribuer à </w:t>
      </w:r>
      <w:r w:rsidR="00F53195" w:rsidRPr="006E1228">
        <w:rPr>
          <w:color w:val="auto"/>
          <w:sz w:val="22"/>
          <w:szCs w:val="22"/>
        </w:rPr>
        <w:t xml:space="preserve">l’animation </w:t>
      </w:r>
      <w:r w:rsidR="006E1228" w:rsidRPr="006E1228">
        <w:rPr>
          <w:color w:val="auto"/>
          <w:sz w:val="22"/>
          <w:szCs w:val="22"/>
        </w:rPr>
        <w:t>d</w:t>
      </w:r>
      <w:r w:rsidR="006241C4">
        <w:rPr>
          <w:color w:val="auto"/>
          <w:sz w:val="22"/>
          <w:szCs w:val="22"/>
        </w:rPr>
        <w:t>e</w:t>
      </w:r>
      <w:r w:rsidR="006E1228" w:rsidRPr="006E1228">
        <w:rPr>
          <w:color w:val="auto"/>
          <w:sz w:val="22"/>
          <w:szCs w:val="22"/>
        </w:rPr>
        <w:t xml:space="preserve"> l’</w:t>
      </w:r>
      <w:r w:rsidR="00F53195" w:rsidRPr="006E1228">
        <w:rPr>
          <w:color w:val="auto"/>
          <w:sz w:val="22"/>
          <w:szCs w:val="22"/>
        </w:rPr>
        <w:t>annuaire MAIA départemental.</w:t>
      </w:r>
    </w:p>
    <w:p w:rsidR="006E1228" w:rsidRDefault="006E1228" w:rsidP="00F53195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F53195" w:rsidRDefault="00F53195" w:rsidP="00F53195">
      <w:pPr>
        <w:pStyle w:val="Default"/>
        <w:jc w:val="both"/>
        <w:rPr>
          <w:color w:val="auto"/>
          <w:sz w:val="22"/>
          <w:szCs w:val="22"/>
        </w:rPr>
      </w:pPr>
      <w:r w:rsidRPr="00F53195">
        <w:rPr>
          <w:color w:val="auto"/>
          <w:sz w:val="22"/>
          <w:szCs w:val="22"/>
        </w:rPr>
        <w:t>De manière générale, le futur porteur du dispositif MAIA s’engage à respecter le cahier des charges national MAIA.</w:t>
      </w:r>
    </w:p>
    <w:p w:rsidR="00F53195" w:rsidRDefault="00F53195" w:rsidP="008E1A3D">
      <w:pPr>
        <w:pStyle w:val="Default"/>
        <w:jc w:val="both"/>
        <w:rPr>
          <w:color w:val="auto"/>
          <w:sz w:val="22"/>
          <w:szCs w:val="22"/>
        </w:rPr>
      </w:pPr>
    </w:p>
    <w:p w:rsidR="000500D7" w:rsidRPr="000500D7" w:rsidRDefault="000500D7" w:rsidP="000500D7">
      <w:pPr>
        <w:pStyle w:val="Titre3"/>
      </w:pPr>
      <w:bookmarkStart w:id="7" w:name="_Toc472932807"/>
      <w:r w:rsidRPr="000500D7">
        <w:t>1.</w:t>
      </w:r>
      <w:r w:rsidR="005E4471">
        <w:t>3.4.</w:t>
      </w:r>
      <w:r w:rsidR="005E4471">
        <w:tab/>
      </w:r>
      <w:r w:rsidRPr="000500D7">
        <w:t>Modalités de financement</w:t>
      </w:r>
      <w:bookmarkEnd w:id="7"/>
    </w:p>
    <w:p w:rsidR="000500D7" w:rsidRPr="000500D7" w:rsidRDefault="000500D7" w:rsidP="000500D7">
      <w:pPr>
        <w:pStyle w:val="Default"/>
        <w:jc w:val="both"/>
        <w:rPr>
          <w:color w:val="auto"/>
          <w:sz w:val="22"/>
          <w:szCs w:val="22"/>
        </w:rPr>
      </w:pPr>
      <w:r w:rsidRPr="000500D7">
        <w:rPr>
          <w:color w:val="auto"/>
          <w:sz w:val="22"/>
          <w:szCs w:val="22"/>
        </w:rPr>
        <w:t>Au titre de 201</w:t>
      </w:r>
      <w:r w:rsidR="009D7255">
        <w:rPr>
          <w:color w:val="auto"/>
          <w:sz w:val="22"/>
          <w:szCs w:val="22"/>
        </w:rPr>
        <w:t>7</w:t>
      </w:r>
      <w:r w:rsidRPr="000500D7">
        <w:rPr>
          <w:color w:val="auto"/>
          <w:sz w:val="22"/>
          <w:szCs w:val="22"/>
        </w:rPr>
        <w:t xml:space="preserve">, l’Agence régionale de santé </w:t>
      </w:r>
      <w:r w:rsidR="009D7255">
        <w:rPr>
          <w:color w:val="auto"/>
          <w:sz w:val="22"/>
          <w:szCs w:val="22"/>
        </w:rPr>
        <w:t>Océan Indien</w:t>
      </w:r>
      <w:r w:rsidRPr="000500D7">
        <w:rPr>
          <w:color w:val="auto"/>
          <w:sz w:val="22"/>
          <w:szCs w:val="22"/>
        </w:rPr>
        <w:t xml:space="preserve"> a pour objectif de déployer </w:t>
      </w:r>
      <w:r w:rsidR="006241C4">
        <w:rPr>
          <w:color w:val="auto"/>
          <w:sz w:val="22"/>
          <w:szCs w:val="22"/>
        </w:rPr>
        <w:t>une</w:t>
      </w:r>
      <w:r w:rsidRPr="000500D7">
        <w:rPr>
          <w:color w:val="auto"/>
          <w:sz w:val="22"/>
          <w:szCs w:val="22"/>
        </w:rPr>
        <w:t xml:space="preserve"> </w:t>
      </w:r>
      <w:r w:rsidRPr="00D517F8">
        <w:rPr>
          <w:color w:val="0D0D0D" w:themeColor="text1" w:themeTint="F2"/>
          <w:sz w:val="22"/>
          <w:szCs w:val="22"/>
        </w:rPr>
        <w:t xml:space="preserve">MAIA </w:t>
      </w:r>
      <w:r w:rsidR="00247791" w:rsidRPr="00D517F8">
        <w:rPr>
          <w:color w:val="0D0D0D" w:themeColor="text1" w:themeTint="F2"/>
          <w:sz w:val="22"/>
          <w:szCs w:val="22"/>
        </w:rPr>
        <w:t xml:space="preserve">supplémentaire </w:t>
      </w:r>
      <w:r w:rsidRPr="00D517F8">
        <w:rPr>
          <w:color w:val="0D0D0D" w:themeColor="text1" w:themeTint="F2"/>
          <w:sz w:val="22"/>
          <w:szCs w:val="22"/>
        </w:rPr>
        <w:t xml:space="preserve">dans le département de </w:t>
      </w:r>
      <w:r w:rsidR="009D7255" w:rsidRPr="00D517F8">
        <w:rPr>
          <w:color w:val="0D0D0D" w:themeColor="text1" w:themeTint="F2"/>
          <w:sz w:val="22"/>
          <w:szCs w:val="22"/>
        </w:rPr>
        <w:t>la Réunion</w:t>
      </w:r>
      <w:r w:rsidRPr="00D517F8">
        <w:rPr>
          <w:color w:val="0D0D0D" w:themeColor="text1" w:themeTint="F2"/>
          <w:sz w:val="22"/>
          <w:szCs w:val="22"/>
        </w:rPr>
        <w:t xml:space="preserve">. Les financements sont issus du </w:t>
      </w:r>
      <w:r w:rsidRPr="000500D7">
        <w:rPr>
          <w:color w:val="auto"/>
          <w:sz w:val="22"/>
          <w:szCs w:val="22"/>
        </w:rPr>
        <w:t>Fonds d’Intervention Régional (FIR) de l’ARS.</w:t>
      </w:r>
    </w:p>
    <w:p w:rsidR="009D7255" w:rsidRDefault="009D7255" w:rsidP="000500D7">
      <w:pPr>
        <w:pStyle w:val="Default"/>
        <w:jc w:val="both"/>
        <w:rPr>
          <w:color w:val="auto"/>
          <w:sz w:val="22"/>
          <w:szCs w:val="22"/>
        </w:rPr>
      </w:pPr>
    </w:p>
    <w:p w:rsidR="000500D7" w:rsidRPr="000500D7" w:rsidRDefault="000500D7" w:rsidP="005E4471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5E4471">
        <w:rPr>
          <w:b/>
          <w:color w:val="auto"/>
          <w:sz w:val="22"/>
          <w:szCs w:val="22"/>
          <w:u w:val="single"/>
        </w:rPr>
        <w:t>Budget prévisionnel 201</w:t>
      </w:r>
      <w:r w:rsidR="009D7255" w:rsidRPr="005E4471">
        <w:rPr>
          <w:b/>
          <w:color w:val="auto"/>
          <w:sz w:val="22"/>
          <w:szCs w:val="22"/>
          <w:u w:val="single"/>
        </w:rPr>
        <w:t>7</w:t>
      </w:r>
      <w:r w:rsidRPr="000500D7">
        <w:rPr>
          <w:color w:val="auto"/>
          <w:sz w:val="22"/>
          <w:szCs w:val="22"/>
        </w:rPr>
        <w:t xml:space="preserve"> (année partielle)</w:t>
      </w:r>
    </w:p>
    <w:p w:rsidR="000500D7" w:rsidRPr="00D517F8" w:rsidRDefault="000500D7" w:rsidP="000500D7">
      <w:pPr>
        <w:pStyle w:val="Default"/>
        <w:jc w:val="both"/>
        <w:rPr>
          <w:color w:val="auto"/>
          <w:sz w:val="22"/>
          <w:szCs w:val="22"/>
        </w:rPr>
      </w:pPr>
      <w:r w:rsidRPr="00D517F8">
        <w:rPr>
          <w:color w:val="auto"/>
          <w:sz w:val="22"/>
          <w:szCs w:val="22"/>
        </w:rPr>
        <w:t>Le financement attribué à la MAIA équivaut</w:t>
      </w:r>
      <w:r w:rsidR="005E4471" w:rsidRPr="00D517F8">
        <w:rPr>
          <w:color w:val="auto"/>
          <w:sz w:val="22"/>
          <w:szCs w:val="22"/>
        </w:rPr>
        <w:t>,</w:t>
      </w:r>
      <w:r w:rsidRPr="00D517F8">
        <w:rPr>
          <w:color w:val="auto"/>
          <w:sz w:val="22"/>
          <w:szCs w:val="22"/>
        </w:rPr>
        <w:t xml:space="preserve"> </w:t>
      </w:r>
      <w:r w:rsidR="005E4471" w:rsidRPr="00D517F8">
        <w:rPr>
          <w:color w:val="auto"/>
          <w:sz w:val="22"/>
          <w:szCs w:val="22"/>
        </w:rPr>
        <w:t xml:space="preserve">en année partielle avec un </w:t>
      </w:r>
      <w:r w:rsidR="005E4471" w:rsidRPr="00D517F8">
        <w:rPr>
          <w:b/>
          <w:color w:val="auto"/>
          <w:sz w:val="22"/>
          <w:szCs w:val="22"/>
        </w:rPr>
        <w:t>démarrage au 1er août 2017</w:t>
      </w:r>
      <w:r w:rsidR="005E4471" w:rsidRPr="00D517F8">
        <w:rPr>
          <w:color w:val="auto"/>
          <w:sz w:val="22"/>
          <w:szCs w:val="22"/>
        </w:rPr>
        <w:t xml:space="preserve">, </w:t>
      </w:r>
      <w:r w:rsidRPr="00D517F8">
        <w:rPr>
          <w:color w:val="auto"/>
          <w:sz w:val="22"/>
          <w:szCs w:val="22"/>
        </w:rPr>
        <w:t>aux montants plafonds suivants</w:t>
      </w:r>
      <w:r w:rsidR="00992E73" w:rsidRPr="00D517F8">
        <w:rPr>
          <w:color w:val="auto"/>
          <w:sz w:val="22"/>
          <w:szCs w:val="22"/>
        </w:rPr>
        <w:t xml:space="preserve"> : </w:t>
      </w:r>
      <w:r w:rsidR="007B546C">
        <w:rPr>
          <w:b/>
          <w:color w:val="auto"/>
          <w:sz w:val="22"/>
          <w:szCs w:val="22"/>
        </w:rPr>
        <w:t>8</w:t>
      </w:r>
      <w:r w:rsidR="005E4471" w:rsidRPr="00D517F8">
        <w:rPr>
          <w:b/>
          <w:color w:val="auto"/>
          <w:sz w:val="22"/>
          <w:szCs w:val="22"/>
        </w:rPr>
        <w:t>6 7</w:t>
      </w:r>
      <w:r w:rsidRPr="00D517F8">
        <w:rPr>
          <w:b/>
          <w:color w:val="auto"/>
          <w:sz w:val="22"/>
          <w:szCs w:val="22"/>
        </w:rPr>
        <w:t>00 euros</w:t>
      </w:r>
      <w:r w:rsidRPr="00D517F8">
        <w:rPr>
          <w:color w:val="auto"/>
          <w:sz w:val="22"/>
          <w:szCs w:val="22"/>
        </w:rPr>
        <w:t xml:space="preserve"> (</w:t>
      </w:r>
      <w:r w:rsidR="007B546C">
        <w:rPr>
          <w:color w:val="auto"/>
          <w:sz w:val="22"/>
          <w:szCs w:val="22"/>
        </w:rPr>
        <w:t>quatre-vingt-six</w:t>
      </w:r>
      <w:r w:rsidR="00DA06CB" w:rsidRPr="00D517F8">
        <w:rPr>
          <w:color w:val="auto"/>
          <w:sz w:val="22"/>
          <w:szCs w:val="22"/>
        </w:rPr>
        <w:t xml:space="preserve"> mille sept cent euros</w:t>
      </w:r>
      <w:r w:rsidRPr="00D517F8">
        <w:rPr>
          <w:color w:val="auto"/>
          <w:sz w:val="22"/>
          <w:szCs w:val="22"/>
        </w:rPr>
        <w:t>)</w:t>
      </w:r>
      <w:r w:rsidR="00D517F8">
        <w:rPr>
          <w:color w:val="auto"/>
          <w:sz w:val="22"/>
          <w:szCs w:val="22"/>
        </w:rPr>
        <w:t>, soit :</w:t>
      </w:r>
    </w:p>
    <w:p w:rsidR="000500D7" w:rsidRPr="00D517F8" w:rsidRDefault="00DA06CB" w:rsidP="00DA06C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D517F8">
        <w:rPr>
          <w:color w:val="auto"/>
          <w:sz w:val="22"/>
          <w:szCs w:val="22"/>
        </w:rPr>
        <w:t>-</w:t>
      </w:r>
      <w:r w:rsidRPr="00D517F8">
        <w:rPr>
          <w:color w:val="auto"/>
          <w:sz w:val="22"/>
          <w:szCs w:val="22"/>
        </w:rPr>
        <w:tab/>
      </w:r>
      <w:r w:rsidR="005E4471" w:rsidRPr="00D517F8">
        <w:rPr>
          <w:color w:val="auto"/>
          <w:sz w:val="22"/>
          <w:szCs w:val="22"/>
        </w:rPr>
        <w:t>41 7</w:t>
      </w:r>
      <w:r w:rsidR="000500D7" w:rsidRPr="00D517F8">
        <w:rPr>
          <w:color w:val="auto"/>
          <w:sz w:val="22"/>
          <w:szCs w:val="22"/>
        </w:rPr>
        <w:t>00 euros correspondant au financement d’1 ETP d</w:t>
      </w:r>
      <w:r w:rsidR="005E4471" w:rsidRPr="00D517F8">
        <w:rPr>
          <w:color w:val="auto"/>
          <w:sz w:val="22"/>
          <w:szCs w:val="22"/>
        </w:rPr>
        <w:t xml:space="preserve">e pilote à recruter à partir d’août 2017 </w:t>
      </w:r>
      <w:r w:rsidR="000500D7" w:rsidRPr="00D517F8">
        <w:rPr>
          <w:color w:val="auto"/>
          <w:sz w:val="22"/>
          <w:szCs w:val="22"/>
        </w:rPr>
        <w:t>+ frais de fonctionnement ;</w:t>
      </w:r>
    </w:p>
    <w:p w:rsidR="00D517F8" w:rsidRPr="00D517F8" w:rsidRDefault="00DA06CB" w:rsidP="000C5F88">
      <w:pPr>
        <w:pStyle w:val="Default"/>
        <w:ind w:left="426" w:hanging="426"/>
        <w:jc w:val="both"/>
      </w:pPr>
      <w:r w:rsidRPr="00D517F8">
        <w:rPr>
          <w:color w:val="auto"/>
          <w:sz w:val="22"/>
          <w:szCs w:val="22"/>
        </w:rPr>
        <w:t>-</w:t>
      </w:r>
      <w:r w:rsidRPr="00D517F8">
        <w:rPr>
          <w:color w:val="auto"/>
          <w:sz w:val="22"/>
          <w:szCs w:val="22"/>
        </w:rPr>
        <w:tab/>
      </w:r>
      <w:r w:rsidR="007B546C">
        <w:rPr>
          <w:color w:val="auto"/>
          <w:sz w:val="22"/>
          <w:szCs w:val="22"/>
        </w:rPr>
        <w:t>4</w:t>
      </w:r>
      <w:r w:rsidR="000500D7" w:rsidRPr="00D517F8">
        <w:rPr>
          <w:color w:val="auto"/>
          <w:sz w:val="22"/>
          <w:szCs w:val="22"/>
        </w:rPr>
        <w:t xml:space="preserve">5 000 euros correspondant au financement de 3 ETP de gestionnaires de cas </w:t>
      </w:r>
      <w:r w:rsidR="00D517F8">
        <w:rPr>
          <w:color w:val="auto"/>
          <w:sz w:val="22"/>
          <w:szCs w:val="22"/>
        </w:rPr>
        <w:t>(</w:t>
      </w:r>
      <w:r w:rsidR="000500D7" w:rsidRPr="00D517F8">
        <w:rPr>
          <w:color w:val="auto"/>
          <w:sz w:val="22"/>
          <w:szCs w:val="22"/>
        </w:rPr>
        <w:t xml:space="preserve">soit </w:t>
      </w:r>
      <w:r w:rsidR="007B546C">
        <w:rPr>
          <w:color w:val="auto"/>
          <w:sz w:val="22"/>
          <w:szCs w:val="22"/>
        </w:rPr>
        <w:t>1</w:t>
      </w:r>
      <w:r w:rsidR="000500D7" w:rsidRPr="00D517F8">
        <w:rPr>
          <w:color w:val="auto"/>
          <w:sz w:val="22"/>
          <w:szCs w:val="22"/>
        </w:rPr>
        <w:t>5</w:t>
      </w:r>
      <w:r w:rsidR="00D517F8">
        <w:rPr>
          <w:color w:val="auto"/>
          <w:sz w:val="22"/>
          <w:szCs w:val="22"/>
        </w:rPr>
        <w:t> </w:t>
      </w:r>
      <w:r w:rsidR="000500D7" w:rsidRPr="00D517F8">
        <w:rPr>
          <w:color w:val="auto"/>
          <w:sz w:val="22"/>
          <w:szCs w:val="22"/>
        </w:rPr>
        <w:t>000</w:t>
      </w:r>
      <w:r w:rsidR="00D517F8">
        <w:rPr>
          <w:color w:val="auto"/>
          <w:sz w:val="22"/>
          <w:szCs w:val="22"/>
        </w:rPr>
        <w:t xml:space="preserve"> </w:t>
      </w:r>
      <w:r w:rsidR="000500D7" w:rsidRPr="00D517F8">
        <w:rPr>
          <w:color w:val="auto"/>
          <w:sz w:val="22"/>
          <w:szCs w:val="22"/>
        </w:rPr>
        <w:t>euros chacun</w:t>
      </w:r>
      <w:r w:rsidR="00D517F8">
        <w:rPr>
          <w:color w:val="auto"/>
          <w:sz w:val="22"/>
          <w:szCs w:val="22"/>
        </w:rPr>
        <w:t>)</w:t>
      </w:r>
      <w:r w:rsidR="000500D7" w:rsidRPr="00D517F8">
        <w:rPr>
          <w:color w:val="auto"/>
          <w:sz w:val="22"/>
          <w:szCs w:val="22"/>
        </w:rPr>
        <w:t xml:space="preserve">, à recruter à compter </w:t>
      </w:r>
      <w:r w:rsidR="005E4471" w:rsidRPr="00D517F8">
        <w:rPr>
          <w:color w:val="auto"/>
          <w:sz w:val="22"/>
          <w:szCs w:val="22"/>
        </w:rPr>
        <w:t>d’</w:t>
      </w:r>
      <w:r w:rsidR="00247791" w:rsidRPr="00D517F8">
        <w:rPr>
          <w:color w:val="auto"/>
          <w:sz w:val="22"/>
          <w:szCs w:val="22"/>
        </w:rPr>
        <w:t xml:space="preserve">octobre </w:t>
      </w:r>
      <w:r w:rsidR="005E4471" w:rsidRPr="00D517F8">
        <w:rPr>
          <w:color w:val="auto"/>
          <w:sz w:val="22"/>
          <w:szCs w:val="22"/>
        </w:rPr>
        <w:t>2017</w:t>
      </w:r>
      <w:r w:rsidR="000500D7" w:rsidRPr="00D517F8">
        <w:rPr>
          <w:color w:val="auto"/>
          <w:sz w:val="22"/>
          <w:szCs w:val="22"/>
        </w:rPr>
        <w:t xml:space="preserve"> ;</w:t>
      </w:r>
      <w:r w:rsidR="000C5F88" w:rsidRPr="00D517F8">
        <w:t xml:space="preserve"> </w:t>
      </w:r>
    </w:p>
    <w:p w:rsidR="005E4471" w:rsidRDefault="005E4471" w:rsidP="000500D7">
      <w:pPr>
        <w:pStyle w:val="Default"/>
        <w:jc w:val="both"/>
        <w:rPr>
          <w:color w:val="auto"/>
          <w:sz w:val="22"/>
          <w:szCs w:val="22"/>
        </w:rPr>
      </w:pPr>
    </w:p>
    <w:p w:rsidR="006241C4" w:rsidRPr="006241C4" w:rsidRDefault="000500D7" w:rsidP="006241C4">
      <w:pPr>
        <w:pStyle w:val="Default"/>
        <w:rPr>
          <w:rFonts w:ascii="Univers LT Std 55" w:hAnsi="Univers LT Std 55" w:cs="Univers LT Std 55"/>
        </w:rPr>
      </w:pPr>
      <w:r w:rsidRPr="005E4471">
        <w:rPr>
          <w:b/>
          <w:color w:val="auto"/>
          <w:sz w:val="22"/>
          <w:szCs w:val="22"/>
          <w:u w:val="single"/>
        </w:rPr>
        <w:t>Budget prévisionnel 201</w:t>
      </w:r>
      <w:r w:rsidR="005E4471" w:rsidRPr="005E4471">
        <w:rPr>
          <w:b/>
          <w:color w:val="auto"/>
          <w:sz w:val="22"/>
          <w:szCs w:val="22"/>
          <w:u w:val="single"/>
        </w:rPr>
        <w:t>8</w:t>
      </w:r>
      <w:r w:rsidRPr="004605A7">
        <w:rPr>
          <w:color w:val="auto"/>
          <w:sz w:val="22"/>
          <w:szCs w:val="22"/>
        </w:rPr>
        <w:t xml:space="preserve"> (année pleine)</w:t>
      </w:r>
      <w:r w:rsidR="006241C4" w:rsidRPr="006241C4">
        <w:rPr>
          <w:rFonts w:ascii="Univers LT Std 55" w:hAnsi="Univers LT Std 55" w:cs="Univers LT Std 55"/>
        </w:rPr>
        <w:t xml:space="preserve"> </w:t>
      </w:r>
    </w:p>
    <w:p w:rsidR="000500D7" w:rsidRPr="000500D7" w:rsidRDefault="00DA06CB" w:rsidP="000500D7">
      <w:pPr>
        <w:pStyle w:val="Default"/>
        <w:jc w:val="both"/>
        <w:rPr>
          <w:color w:val="auto"/>
          <w:sz w:val="22"/>
          <w:szCs w:val="22"/>
        </w:rPr>
      </w:pPr>
      <w:r w:rsidRPr="00BE5A2E">
        <w:rPr>
          <w:color w:val="auto"/>
          <w:sz w:val="22"/>
          <w:szCs w:val="22"/>
        </w:rPr>
        <w:t>En année pleine, l</w:t>
      </w:r>
      <w:r w:rsidR="000500D7" w:rsidRPr="00BE5A2E">
        <w:rPr>
          <w:color w:val="auto"/>
          <w:sz w:val="22"/>
          <w:szCs w:val="22"/>
        </w:rPr>
        <w:t>e financement attribué à la MAIA équivaut aux montants plafonds suivants</w:t>
      </w:r>
      <w:r w:rsidR="00BE5A2E">
        <w:rPr>
          <w:color w:val="auto"/>
          <w:sz w:val="22"/>
          <w:szCs w:val="22"/>
        </w:rPr>
        <w:t> :</w:t>
      </w:r>
      <w:r w:rsidRPr="00BE5A2E">
        <w:rPr>
          <w:color w:val="auto"/>
          <w:sz w:val="22"/>
          <w:szCs w:val="22"/>
        </w:rPr>
        <w:t xml:space="preserve"> </w:t>
      </w:r>
      <w:r w:rsidR="00BE5A2E" w:rsidRPr="00BE5A2E">
        <w:rPr>
          <w:color w:val="auto"/>
          <w:sz w:val="22"/>
          <w:szCs w:val="22"/>
        </w:rPr>
        <w:t>280</w:t>
      </w:r>
      <w:r w:rsidR="000500D7" w:rsidRPr="00BE5A2E">
        <w:rPr>
          <w:color w:val="auto"/>
          <w:sz w:val="22"/>
          <w:szCs w:val="22"/>
        </w:rPr>
        <w:t xml:space="preserve"> 000 euros (</w:t>
      </w:r>
      <w:r w:rsidR="00BE5A2E" w:rsidRPr="00BE5A2E">
        <w:rPr>
          <w:color w:val="auto"/>
          <w:sz w:val="22"/>
          <w:szCs w:val="22"/>
        </w:rPr>
        <w:t>deux cent quatre-vingts</w:t>
      </w:r>
      <w:r w:rsidRPr="00BE5A2E">
        <w:rPr>
          <w:color w:val="auto"/>
          <w:sz w:val="22"/>
          <w:szCs w:val="22"/>
        </w:rPr>
        <w:t xml:space="preserve"> mille euros</w:t>
      </w:r>
      <w:r w:rsidR="000500D7" w:rsidRPr="00BE5A2E">
        <w:rPr>
          <w:color w:val="auto"/>
          <w:sz w:val="22"/>
          <w:szCs w:val="22"/>
        </w:rPr>
        <w:t>)</w:t>
      </w:r>
    </w:p>
    <w:p w:rsidR="000500D7" w:rsidRPr="000500D7" w:rsidRDefault="00DA06CB" w:rsidP="00DA06C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</w:r>
      <w:r w:rsidR="000500D7" w:rsidRPr="000500D7">
        <w:rPr>
          <w:color w:val="auto"/>
          <w:sz w:val="22"/>
          <w:szCs w:val="22"/>
        </w:rPr>
        <w:t xml:space="preserve">100 000 euros </w:t>
      </w:r>
      <w:r>
        <w:rPr>
          <w:color w:val="auto"/>
          <w:sz w:val="22"/>
          <w:szCs w:val="22"/>
        </w:rPr>
        <w:t xml:space="preserve">(cent mille euros) </w:t>
      </w:r>
      <w:r w:rsidR="000500D7" w:rsidRPr="000500D7">
        <w:rPr>
          <w:color w:val="auto"/>
          <w:sz w:val="22"/>
          <w:szCs w:val="22"/>
        </w:rPr>
        <w:t>correspondant au financement d’1 ETP de pilote + frais de fonctionnement ;</w:t>
      </w:r>
    </w:p>
    <w:p w:rsidR="000500D7" w:rsidRPr="000500D7" w:rsidRDefault="00DA06CB" w:rsidP="00DA06C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102D12">
        <w:rPr>
          <w:color w:val="auto"/>
          <w:sz w:val="22"/>
          <w:szCs w:val="22"/>
        </w:rPr>
        <w:t>-</w:t>
      </w:r>
      <w:r w:rsidRPr="00102D12">
        <w:rPr>
          <w:color w:val="auto"/>
          <w:sz w:val="22"/>
          <w:szCs w:val="22"/>
        </w:rPr>
        <w:tab/>
      </w:r>
      <w:r w:rsidR="000500D7" w:rsidRPr="00102D12">
        <w:rPr>
          <w:color w:val="auto"/>
          <w:sz w:val="22"/>
          <w:szCs w:val="22"/>
        </w:rPr>
        <w:t>180 000 euros</w:t>
      </w:r>
      <w:r w:rsidRPr="00102D12">
        <w:rPr>
          <w:color w:val="auto"/>
          <w:sz w:val="22"/>
          <w:szCs w:val="22"/>
        </w:rPr>
        <w:t xml:space="preserve"> (cent quatre-vingts mille euros)</w:t>
      </w:r>
      <w:r w:rsidR="000500D7" w:rsidRPr="00102D12">
        <w:rPr>
          <w:color w:val="auto"/>
          <w:sz w:val="22"/>
          <w:szCs w:val="22"/>
        </w:rPr>
        <w:t xml:space="preserve"> correspondant au financement de</w:t>
      </w:r>
      <w:r w:rsidR="00BE5A2E" w:rsidRPr="00102D12">
        <w:rPr>
          <w:color w:val="auto"/>
          <w:sz w:val="22"/>
          <w:szCs w:val="22"/>
        </w:rPr>
        <w:t xml:space="preserve"> 3 ETP de gestionnaires de cas.</w:t>
      </w:r>
    </w:p>
    <w:p w:rsidR="00DA06CB" w:rsidRDefault="00DA06CB" w:rsidP="000500D7">
      <w:pPr>
        <w:pStyle w:val="Default"/>
        <w:jc w:val="both"/>
        <w:rPr>
          <w:color w:val="auto"/>
          <w:sz w:val="22"/>
          <w:szCs w:val="22"/>
        </w:rPr>
      </w:pPr>
    </w:p>
    <w:p w:rsidR="000500D7" w:rsidRDefault="000500D7" w:rsidP="000500D7">
      <w:pPr>
        <w:pStyle w:val="Default"/>
        <w:jc w:val="both"/>
        <w:rPr>
          <w:color w:val="auto"/>
          <w:sz w:val="22"/>
          <w:szCs w:val="22"/>
        </w:rPr>
      </w:pPr>
      <w:r w:rsidRPr="000500D7">
        <w:rPr>
          <w:color w:val="auto"/>
          <w:sz w:val="22"/>
          <w:szCs w:val="22"/>
        </w:rPr>
        <w:t>Les crédits alloués financent les coûts salariaux du pilote et des gestionnaires de cas ainsi que les frais de fonctionnement, le secrétariat, les formations (pilote + GC), les frais de déplacement et/ou de location de véhicules, l’équipement informatique, les licences et droits d’utilisation des outil</w:t>
      </w:r>
      <w:r w:rsidR="00DA06CB">
        <w:rPr>
          <w:color w:val="auto"/>
          <w:sz w:val="22"/>
          <w:szCs w:val="22"/>
        </w:rPr>
        <w:t>s et des systèmes d’information.</w:t>
      </w:r>
    </w:p>
    <w:p w:rsidR="00DA06CB" w:rsidRPr="000500D7" w:rsidRDefault="00DA06CB" w:rsidP="000500D7">
      <w:pPr>
        <w:pStyle w:val="Default"/>
        <w:jc w:val="both"/>
        <w:rPr>
          <w:color w:val="auto"/>
          <w:sz w:val="22"/>
          <w:szCs w:val="22"/>
        </w:rPr>
      </w:pPr>
    </w:p>
    <w:p w:rsidR="000500D7" w:rsidRDefault="000500D7" w:rsidP="000500D7">
      <w:pPr>
        <w:pStyle w:val="Default"/>
        <w:jc w:val="both"/>
        <w:rPr>
          <w:color w:val="auto"/>
          <w:sz w:val="22"/>
          <w:szCs w:val="22"/>
        </w:rPr>
      </w:pPr>
      <w:r w:rsidRPr="000500D7">
        <w:rPr>
          <w:color w:val="auto"/>
          <w:sz w:val="22"/>
          <w:szCs w:val="22"/>
        </w:rPr>
        <w:t>Le montant des cofinancements (contributions financières ou en nature) des autres partenaires de la MAIA doivent également apparaitre dans les budgets prévisionnels 201</w:t>
      </w:r>
      <w:r w:rsidR="00DA06CB">
        <w:rPr>
          <w:color w:val="auto"/>
          <w:sz w:val="22"/>
          <w:szCs w:val="22"/>
        </w:rPr>
        <w:t>7</w:t>
      </w:r>
      <w:r w:rsidRPr="000500D7">
        <w:rPr>
          <w:color w:val="auto"/>
          <w:sz w:val="22"/>
          <w:szCs w:val="22"/>
        </w:rPr>
        <w:t xml:space="preserve"> et 201</w:t>
      </w:r>
      <w:r w:rsidR="00DA06CB">
        <w:rPr>
          <w:color w:val="auto"/>
          <w:sz w:val="22"/>
          <w:szCs w:val="22"/>
        </w:rPr>
        <w:t>8</w:t>
      </w:r>
      <w:r w:rsidRPr="000500D7">
        <w:rPr>
          <w:color w:val="auto"/>
          <w:sz w:val="22"/>
          <w:szCs w:val="22"/>
        </w:rPr>
        <w:t>.</w:t>
      </w:r>
    </w:p>
    <w:p w:rsidR="008C1BFC" w:rsidRPr="008C1BFC" w:rsidRDefault="000500D7" w:rsidP="006E1228">
      <w:pPr>
        <w:pStyle w:val="Titre1"/>
      </w:pPr>
      <w:bookmarkStart w:id="8" w:name="_Toc472932808"/>
      <w:r>
        <w:t>2</w:t>
      </w:r>
      <w:r w:rsidR="00000DE3">
        <w:t>.</w:t>
      </w:r>
      <w:r w:rsidR="00000DE3">
        <w:tab/>
      </w:r>
      <w:r w:rsidR="004605A7" w:rsidRPr="004605A7">
        <w:t>Critères de sélection</w:t>
      </w:r>
      <w:bookmarkEnd w:id="8"/>
    </w:p>
    <w:p w:rsidR="004605A7" w:rsidRPr="004605A7" w:rsidRDefault="009E4C82" w:rsidP="009E4C82">
      <w:pPr>
        <w:pStyle w:val="Titre2"/>
      </w:pPr>
      <w:bookmarkStart w:id="9" w:name="_Toc472932809"/>
      <w:r>
        <w:t>2.1.</w:t>
      </w:r>
      <w:r>
        <w:tab/>
      </w:r>
      <w:r w:rsidR="004605A7" w:rsidRPr="004605A7">
        <w:t>Critères de sélection des dispositifs d’intégration MAIA</w:t>
      </w:r>
      <w:bookmarkEnd w:id="9"/>
    </w:p>
    <w:p w:rsidR="004605A7" w:rsidRPr="004605A7" w:rsidRDefault="004605A7" w:rsidP="009E4C82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>Les conditions à remplir pour être éligible à l’appel à candidatures sont :</w:t>
      </w:r>
    </w:p>
    <w:p w:rsidR="004605A7" w:rsidRPr="004605A7" w:rsidRDefault="009E4C82" w:rsidP="009E4C8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</w:r>
      <w:r w:rsidR="004605A7" w:rsidRPr="004605A7">
        <w:rPr>
          <w:color w:val="auto"/>
          <w:sz w:val="22"/>
          <w:szCs w:val="22"/>
        </w:rPr>
        <w:t>des conditions de forme : dossier complet</w:t>
      </w:r>
      <w:r>
        <w:rPr>
          <w:color w:val="auto"/>
          <w:sz w:val="22"/>
          <w:szCs w:val="22"/>
        </w:rPr>
        <w:t xml:space="preserve"> (2 versions papier + 1 version électronique</w:t>
      </w:r>
      <w:r w:rsidR="004605A7" w:rsidRPr="004605A7">
        <w:rPr>
          <w:color w:val="auto"/>
          <w:sz w:val="22"/>
          <w:szCs w:val="22"/>
        </w:rPr>
        <w:t>), comprenant l’ensemble des pièces à fournir,</w:t>
      </w:r>
    </w:p>
    <w:p w:rsidR="004605A7" w:rsidRPr="004605A7" w:rsidRDefault="009E4C82" w:rsidP="009E4C8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  <w:t>des conditions de fond</w:t>
      </w:r>
      <w:r w:rsidR="004605A7" w:rsidRPr="004605A7">
        <w:rPr>
          <w:color w:val="auto"/>
          <w:sz w:val="22"/>
          <w:szCs w:val="22"/>
        </w:rPr>
        <w:t xml:space="preserve"> : respect du </w:t>
      </w:r>
      <w:r w:rsidR="009D48C1">
        <w:rPr>
          <w:color w:val="auto"/>
          <w:sz w:val="22"/>
          <w:szCs w:val="22"/>
        </w:rPr>
        <w:t xml:space="preserve">présent </w:t>
      </w:r>
      <w:r w:rsidR="004605A7" w:rsidRPr="004605A7">
        <w:rPr>
          <w:color w:val="auto"/>
          <w:sz w:val="22"/>
          <w:szCs w:val="22"/>
        </w:rPr>
        <w:t>cah</w:t>
      </w:r>
      <w:r w:rsidR="009D48C1">
        <w:rPr>
          <w:color w:val="auto"/>
          <w:sz w:val="22"/>
          <w:szCs w:val="22"/>
        </w:rPr>
        <w:t>ier des charges.</w:t>
      </w:r>
    </w:p>
    <w:p w:rsidR="009E4C82" w:rsidRDefault="009E4C82" w:rsidP="009E4C82">
      <w:pPr>
        <w:pStyle w:val="Default"/>
        <w:jc w:val="both"/>
        <w:rPr>
          <w:color w:val="auto"/>
          <w:sz w:val="22"/>
          <w:szCs w:val="22"/>
        </w:rPr>
      </w:pPr>
    </w:p>
    <w:p w:rsidR="004605A7" w:rsidRPr="004605A7" w:rsidRDefault="004605A7" w:rsidP="009E4C82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>Les projets seront sélectionnés en fonction d’une grille d’analyse définie sur la base des</w:t>
      </w:r>
      <w:r w:rsidR="009E4C82">
        <w:rPr>
          <w:color w:val="auto"/>
          <w:sz w:val="22"/>
          <w:szCs w:val="22"/>
        </w:rPr>
        <w:t xml:space="preserve"> </w:t>
      </w:r>
      <w:r w:rsidRPr="004605A7">
        <w:rPr>
          <w:color w:val="auto"/>
          <w:sz w:val="22"/>
          <w:szCs w:val="22"/>
        </w:rPr>
        <w:t>critères du cahier des charges.</w:t>
      </w:r>
    </w:p>
    <w:p w:rsidR="009E4C82" w:rsidRDefault="009E4C82" w:rsidP="009E4C82">
      <w:pPr>
        <w:pStyle w:val="Default"/>
        <w:jc w:val="both"/>
        <w:rPr>
          <w:color w:val="auto"/>
          <w:sz w:val="22"/>
          <w:szCs w:val="22"/>
        </w:rPr>
      </w:pPr>
    </w:p>
    <w:p w:rsidR="00D97675" w:rsidRDefault="004605A7" w:rsidP="009E4C82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>Les projets devront répondre impérativement au cahier des charges MAIA téléchargeable</w:t>
      </w:r>
      <w:r w:rsidR="00107243">
        <w:rPr>
          <w:color w:val="auto"/>
          <w:sz w:val="22"/>
          <w:szCs w:val="22"/>
        </w:rPr>
        <w:t xml:space="preserve"> </w:t>
      </w:r>
      <w:r w:rsidRPr="004605A7">
        <w:rPr>
          <w:color w:val="auto"/>
          <w:sz w:val="22"/>
          <w:szCs w:val="22"/>
        </w:rPr>
        <w:t xml:space="preserve">sur le site internet de l’ARS </w:t>
      </w:r>
      <w:r w:rsidR="009E4C82">
        <w:rPr>
          <w:color w:val="auto"/>
          <w:sz w:val="22"/>
          <w:szCs w:val="22"/>
        </w:rPr>
        <w:t xml:space="preserve">Océan Indien </w:t>
      </w:r>
      <w:hyperlink r:id="rId10" w:history="1">
        <w:r w:rsidR="00FF2D31">
          <w:rPr>
            <w:rStyle w:val="Lienhypertexte"/>
          </w:rPr>
          <w:t>www.ocean-indien.ars.sante.fr</w:t>
        </w:r>
      </w:hyperlink>
      <w:r w:rsidR="009E4C82">
        <w:rPr>
          <w:color w:val="auto"/>
          <w:sz w:val="22"/>
          <w:szCs w:val="22"/>
        </w:rPr>
        <w:t xml:space="preserve">, </w:t>
      </w:r>
      <w:r w:rsidRPr="004605A7">
        <w:rPr>
          <w:color w:val="auto"/>
          <w:sz w:val="22"/>
          <w:szCs w:val="22"/>
        </w:rPr>
        <w:t xml:space="preserve">à la rubrique </w:t>
      </w:r>
      <w:r w:rsidR="009E4C82">
        <w:rPr>
          <w:color w:val="auto"/>
          <w:sz w:val="22"/>
          <w:szCs w:val="22"/>
        </w:rPr>
        <w:t>« </w:t>
      </w:r>
      <w:r w:rsidRPr="004605A7">
        <w:rPr>
          <w:color w:val="auto"/>
          <w:sz w:val="22"/>
          <w:szCs w:val="22"/>
        </w:rPr>
        <w:t xml:space="preserve">appels à </w:t>
      </w:r>
      <w:r w:rsidR="009E4C82">
        <w:rPr>
          <w:color w:val="auto"/>
          <w:sz w:val="22"/>
          <w:szCs w:val="22"/>
        </w:rPr>
        <w:t>candidatures</w:t>
      </w:r>
      <w:r w:rsidRPr="004605A7">
        <w:rPr>
          <w:color w:val="auto"/>
          <w:sz w:val="22"/>
          <w:szCs w:val="22"/>
        </w:rPr>
        <w:t xml:space="preserve"> ».</w:t>
      </w:r>
    </w:p>
    <w:p w:rsidR="004605A7" w:rsidRDefault="004605A7" w:rsidP="004605A7">
      <w:pPr>
        <w:pStyle w:val="Default"/>
        <w:jc w:val="both"/>
        <w:rPr>
          <w:color w:val="auto"/>
          <w:sz w:val="22"/>
          <w:szCs w:val="22"/>
        </w:rPr>
      </w:pPr>
    </w:p>
    <w:p w:rsidR="004605A7" w:rsidRPr="009E4C82" w:rsidRDefault="009E4C82" w:rsidP="009E4C82">
      <w:pPr>
        <w:pStyle w:val="Titre2"/>
      </w:pPr>
      <w:bookmarkStart w:id="10" w:name="_Toc472932810"/>
      <w:r>
        <w:t>2.2.</w:t>
      </w:r>
      <w:r>
        <w:tab/>
      </w:r>
      <w:r w:rsidR="004605A7" w:rsidRPr="009E4C82">
        <w:t xml:space="preserve">Modalités d’évaluation </w:t>
      </w:r>
      <w:r>
        <w:t>des</w:t>
      </w:r>
      <w:r w:rsidR="004605A7" w:rsidRPr="009E4C82">
        <w:t xml:space="preserve"> projet</w:t>
      </w:r>
      <w:r>
        <w:t>s</w:t>
      </w:r>
      <w:bookmarkEnd w:id="10"/>
    </w:p>
    <w:p w:rsidR="004605A7" w:rsidRPr="00BE5A2E" w:rsidRDefault="004605A7" w:rsidP="004605A7">
      <w:pPr>
        <w:pStyle w:val="Default"/>
        <w:jc w:val="both"/>
        <w:rPr>
          <w:color w:val="auto"/>
          <w:sz w:val="22"/>
          <w:szCs w:val="22"/>
        </w:rPr>
      </w:pPr>
      <w:r w:rsidRPr="00BE5A2E">
        <w:rPr>
          <w:color w:val="auto"/>
          <w:sz w:val="22"/>
          <w:szCs w:val="22"/>
        </w:rPr>
        <w:t>Les projets dont le dossier aura été déclaré complet feront l’objet d’un examen, pour avis,</w:t>
      </w:r>
      <w:r w:rsidR="009E4C82" w:rsidRPr="00BE5A2E">
        <w:rPr>
          <w:color w:val="auto"/>
          <w:sz w:val="22"/>
          <w:szCs w:val="22"/>
        </w:rPr>
        <w:t xml:space="preserve"> </w:t>
      </w:r>
      <w:r w:rsidRPr="00BE5A2E">
        <w:rPr>
          <w:color w:val="auto"/>
          <w:sz w:val="22"/>
          <w:szCs w:val="22"/>
        </w:rPr>
        <w:t>par une commission de sélection. Elle sera composée de représentants de l’ARS, du Conseil</w:t>
      </w:r>
    </w:p>
    <w:p w:rsidR="004605A7" w:rsidRPr="004605A7" w:rsidRDefault="009E4C82" w:rsidP="004605A7">
      <w:pPr>
        <w:pStyle w:val="Default"/>
        <w:jc w:val="both"/>
        <w:rPr>
          <w:color w:val="auto"/>
          <w:sz w:val="22"/>
          <w:szCs w:val="22"/>
        </w:rPr>
      </w:pPr>
      <w:r w:rsidRPr="00BE5A2E">
        <w:rPr>
          <w:color w:val="auto"/>
          <w:sz w:val="22"/>
          <w:szCs w:val="22"/>
        </w:rPr>
        <w:t>D</w:t>
      </w:r>
      <w:r w:rsidR="004605A7" w:rsidRPr="00BE5A2E">
        <w:rPr>
          <w:color w:val="auto"/>
          <w:sz w:val="22"/>
          <w:szCs w:val="22"/>
        </w:rPr>
        <w:t>épartemental</w:t>
      </w:r>
      <w:r w:rsidRPr="00BE5A2E">
        <w:rPr>
          <w:color w:val="auto"/>
          <w:sz w:val="22"/>
          <w:szCs w:val="22"/>
        </w:rPr>
        <w:t xml:space="preserve"> et de personnalités qualifiées.</w:t>
      </w:r>
      <w:r w:rsidR="006241C4">
        <w:rPr>
          <w:color w:val="auto"/>
          <w:sz w:val="22"/>
          <w:szCs w:val="22"/>
        </w:rPr>
        <w:t xml:space="preserve"> </w:t>
      </w:r>
    </w:p>
    <w:p w:rsidR="009E4C82" w:rsidRDefault="009E4C82" w:rsidP="004605A7">
      <w:pPr>
        <w:pStyle w:val="Default"/>
        <w:jc w:val="both"/>
        <w:rPr>
          <w:color w:val="auto"/>
          <w:sz w:val="22"/>
          <w:szCs w:val="22"/>
        </w:rPr>
      </w:pPr>
    </w:p>
    <w:p w:rsidR="004605A7" w:rsidRPr="004605A7" w:rsidRDefault="004605A7" w:rsidP="004605A7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 xml:space="preserve">La décision finale revient au Directeur général de l’ARS </w:t>
      </w:r>
      <w:r w:rsidR="009E4C82">
        <w:rPr>
          <w:color w:val="auto"/>
          <w:sz w:val="22"/>
          <w:szCs w:val="22"/>
        </w:rPr>
        <w:t>Océan Indien</w:t>
      </w:r>
      <w:r w:rsidRPr="004605A7">
        <w:rPr>
          <w:color w:val="auto"/>
          <w:sz w:val="22"/>
          <w:szCs w:val="22"/>
        </w:rPr>
        <w:t xml:space="preserve"> qui a compétence pour</w:t>
      </w:r>
      <w:r w:rsidR="009E4C82">
        <w:rPr>
          <w:color w:val="auto"/>
          <w:sz w:val="22"/>
          <w:szCs w:val="22"/>
        </w:rPr>
        <w:t xml:space="preserve"> </w:t>
      </w:r>
      <w:r w:rsidRPr="004605A7">
        <w:rPr>
          <w:color w:val="auto"/>
          <w:sz w:val="22"/>
          <w:szCs w:val="22"/>
        </w:rPr>
        <w:t>autoriser les MAIA. Cette décision sera formalisée par une convention de partenariat ARS</w:t>
      </w:r>
      <w:r w:rsidR="009E4C82">
        <w:rPr>
          <w:color w:val="auto"/>
          <w:sz w:val="22"/>
          <w:szCs w:val="22"/>
        </w:rPr>
        <w:t xml:space="preserve"> / </w:t>
      </w:r>
      <w:r w:rsidRPr="004605A7">
        <w:rPr>
          <w:color w:val="auto"/>
          <w:sz w:val="22"/>
          <w:szCs w:val="22"/>
        </w:rPr>
        <w:t>porteur</w:t>
      </w:r>
      <w:r w:rsidR="009E4C82">
        <w:rPr>
          <w:color w:val="auto"/>
          <w:sz w:val="22"/>
          <w:szCs w:val="22"/>
        </w:rPr>
        <w:t xml:space="preserve"> </w:t>
      </w:r>
      <w:r w:rsidRPr="004605A7">
        <w:rPr>
          <w:color w:val="auto"/>
          <w:sz w:val="22"/>
          <w:szCs w:val="22"/>
        </w:rPr>
        <w:t>de la MAIA.</w:t>
      </w:r>
    </w:p>
    <w:p w:rsidR="009E4C82" w:rsidRDefault="009E4C82" w:rsidP="004605A7">
      <w:pPr>
        <w:pStyle w:val="Default"/>
        <w:jc w:val="both"/>
        <w:rPr>
          <w:color w:val="auto"/>
          <w:sz w:val="22"/>
          <w:szCs w:val="22"/>
        </w:rPr>
      </w:pPr>
    </w:p>
    <w:p w:rsidR="004605A7" w:rsidRPr="008C1BFC" w:rsidRDefault="004605A7" w:rsidP="004605A7">
      <w:pPr>
        <w:pStyle w:val="Default"/>
        <w:jc w:val="both"/>
        <w:rPr>
          <w:color w:val="auto"/>
          <w:sz w:val="22"/>
          <w:szCs w:val="22"/>
        </w:rPr>
      </w:pPr>
    </w:p>
    <w:p w:rsidR="008C1BFC" w:rsidRPr="008C1BFC" w:rsidRDefault="004605A7" w:rsidP="006E1228">
      <w:pPr>
        <w:pStyle w:val="Titre1"/>
      </w:pPr>
      <w:bookmarkStart w:id="11" w:name="_Toc472932811"/>
      <w:r>
        <w:t>3</w:t>
      </w:r>
      <w:r w:rsidR="00D97675">
        <w:t>.</w:t>
      </w:r>
      <w:r w:rsidR="00D97675">
        <w:tab/>
      </w:r>
      <w:r w:rsidR="00700648">
        <w:t>C</w:t>
      </w:r>
      <w:r w:rsidR="008C1BFC" w:rsidRPr="008C1BFC">
        <w:t xml:space="preserve">alendrier de mise en </w:t>
      </w:r>
      <w:r w:rsidR="00F41843">
        <w:t>œuvre</w:t>
      </w:r>
      <w:r w:rsidR="00700648">
        <w:t xml:space="preserve"> et dossier de candidature</w:t>
      </w:r>
      <w:bookmarkEnd w:id="11"/>
    </w:p>
    <w:p w:rsidR="00700648" w:rsidRDefault="004605A7" w:rsidP="006E1228">
      <w:pPr>
        <w:pStyle w:val="Titre2"/>
      </w:pPr>
      <w:bookmarkStart w:id="12" w:name="_Toc472932812"/>
      <w:r>
        <w:t>3</w:t>
      </w:r>
      <w:r w:rsidR="00700648">
        <w:t>.1.</w:t>
      </w:r>
      <w:r w:rsidR="00700648">
        <w:tab/>
      </w:r>
      <w:r w:rsidR="00232325">
        <w:t>C</w:t>
      </w:r>
      <w:r w:rsidR="00700648">
        <w:t>alendrier</w:t>
      </w:r>
      <w:r w:rsidR="00EF0D1C">
        <w:t xml:space="preserve"> de déploiement du </w:t>
      </w:r>
      <w:r w:rsidR="0024452D">
        <w:t>dispositif intégré MAIA</w:t>
      </w:r>
      <w:bookmarkEnd w:id="12"/>
    </w:p>
    <w:p w:rsidR="0024452D" w:rsidRPr="00102D12" w:rsidRDefault="00BA4B4C" w:rsidP="0024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 xml:space="preserve">31 mars </w:t>
      </w:r>
      <w:r w:rsidR="006D7869" w:rsidRPr="00102D12">
        <w:rPr>
          <w:color w:val="auto"/>
          <w:sz w:val="22"/>
          <w:szCs w:val="22"/>
          <w:u w:val="single"/>
        </w:rPr>
        <w:t>2017</w:t>
      </w:r>
      <w:r w:rsidR="00107243" w:rsidRPr="00102D12">
        <w:rPr>
          <w:color w:val="auto"/>
          <w:sz w:val="22"/>
          <w:szCs w:val="22"/>
        </w:rPr>
        <w:t> :</w:t>
      </w:r>
      <w:r w:rsidR="0024452D" w:rsidRPr="00102D12">
        <w:rPr>
          <w:color w:val="auto"/>
          <w:sz w:val="22"/>
          <w:szCs w:val="22"/>
        </w:rPr>
        <w:t xml:space="preserve"> lancement de l’appel à candidatures ;</w:t>
      </w:r>
    </w:p>
    <w:p w:rsidR="0024452D" w:rsidRPr="00102D12" w:rsidRDefault="006D7869" w:rsidP="0024452D">
      <w:pPr>
        <w:pStyle w:val="Default"/>
        <w:jc w:val="both"/>
        <w:rPr>
          <w:color w:val="auto"/>
          <w:sz w:val="22"/>
          <w:szCs w:val="22"/>
        </w:rPr>
      </w:pPr>
      <w:r w:rsidRPr="00102D12">
        <w:rPr>
          <w:color w:val="auto"/>
          <w:sz w:val="22"/>
          <w:szCs w:val="22"/>
          <w:u w:val="single"/>
        </w:rPr>
        <w:t>Fin mai 2017</w:t>
      </w:r>
      <w:r w:rsidR="00107243" w:rsidRPr="00102D12">
        <w:rPr>
          <w:color w:val="auto"/>
          <w:sz w:val="22"/>
          <w:szCs w:val="22"/>
        </w:rPr>
        <w:t> :</w:t>
      </w:r>
      <w:r w:rsidR="0024452D" w:rsidRPr="00102D12">
        <w:rPr>
          <w:color w:val="auto"/>
          <w:sz w:val="22"/>
          <w:szCs w:val="22"/>
        </w:rPr>
        <w:t xml:space="preserve"> date limite de dépôt des candidatures ;</w:t>
      </w:r>
    </w:p>
    <w:p w:rsidR="0024452D" w:rsidRPr="00102D12" w:rsidRDefault="00207426" w:rsidP="002074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J</w:t>
      </w:r>
      <w:r w:rsidR="006D7869" w:rsidRPr="00102D12">
        <w:rPr>
          <w:color w:val="auto"/>
          <w:sz w:val="22"/>
          <w:szCs w:val="22"/>
          <w:u w:val="single"/>
        </w:rPr>
        <w:t>uin</w:t>
      </w:r>
      <w:r>
        <w:rPr>
          <w:color w:val="auto"/>
          <w:sz w:val="22"/>
          <w:szCs w:val="22"/>
          <w:u w:val="single"/>
        </w:rPr>
        <w:t xml:space="preserve"> -</w:t>
      </w:r>
      <w:r w:rsidR="006D7869" w:rsidRPr="00102D12"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 xml:space="preserve">Juillet </w:t>
      </w:r>
      <w:r w:rsidR="006D7869" w:rsidRPr="00102D12">
        <w:rPr>
          <w:color w:val="auto"/>
          <w:sz w:val="22"/>
          <w:szCs w:val="22"/>
          <w:u w:val="single"/>
        </w:rPr>
        <w:t>2017</w:t>
      </w:r>
      <w:r w:rsidR="0024452D" w:rsidRPr="00102D12">
        <w:rPr>
          <w:color w:val="auto"/>
          <w:sz w:val="22"/>
          <w:szCs w:val="22"/>
        </w:rPr>
        <w:t xml:space="preserve"> : instruction des dossiers</w:t>
      </w:r>
      <w:r>
        <w:rPr>
          <w:color w:val="auto"/>
          <w:sz w:val="22"/>
          <w:szCs w:val="22"/>
        </w:rPr>
        <w:t xml:space="preserve"> -</w:t>
      </w:r>
      <w:r w:rsidR="0024452D" w:rsidRPr="00102D12">
        <w:rPr>
          <w:color w:val="auto"/>
          <w:sz w:val="22"/>
          <w:szCs w:val="22"/>
        </w:rPr>
        <w:t xml:space="preserve"> réunion de la commission régionale consultative de sélection et décision finale du Directeur général de l’ARS</w:t>
      </w:r>
    </w:p>
    <w:p w:rsidR="0024452D" w:rsidRPr="00102D12" w:rsidRDefault="00107243" w:rsidP="0024452D">
      <w:pPr>
        <w:pStyle w:val="Default"/>
        <w:jc w:val="both"/>
        <w:rPr>
          <w:color w:val="auto"/>
          <w:sz w:val="22"/>
          <w:szCs w:val="22"/>
        </w:rPr>
      </w:pPr>
      <w:r w:rsidRPr="00102D12">
        <w:rPr>
          <w:color w:val="auto"/>
          <w:sz w:val="22"/>
          <w:szCs w:val="22"/>
          <w:u w:val="single"/>
        </w:rPr>
        <w:t xml:space="preserve">Juillet </w:t>
      </w:r>
      <w:r w:rsidR="00207426">
        <w:rPr>
          <w:color w:val="auto"/>
          <w:sz w:val="22"/>
          <w:szCs w:val="22"/>
          <w:u w:val="single"/>
        </w:rPr>
        <w:t xml:space="preserve">- </w:t>
      </w:r>
      <w:r w:rsidR="00207426" w:rsidRPr="00102D12">
        <w:rPr>
          <w:color w:val="auto"/>
          <w:sz w:val="22"/>
          <w:szCs w:val="22"/>
          <w:u w:val="single"/>
        </w:rPr>
        <w:t xml:space="preserve">Août </w:t>
      </w:r>
      <w:r w:rsidRPr="00102D12">
        <w:rPr>
          <w:color w:val="auto"/>
          <w:sz w:val="22"/>
          <w:szCs w:val="22"/>
          <w:u w:val="single"/>
        </w:rPr>
        <w:t>2017</w:t>
      </w:r>
      <w:r w:rsidRPr="00102D12">
        <w:rPr>
          <w:color w:val="auto"/>
          <w:sz w:val="22"/>
          <w:szCs w:val="22"/>
        </w:rPr>
        <w:t xml:space="preserve"> : </w:t>
      </w:r>
      <w:r w:rsidR="0024452D" w:rsidRPr="00102D12">
        <w:rPr>
          <w:color w:val="auto"/>
          <w:sz w:val="22"/>
          <w:szCs w:val="22"/>
        </w:rPr>
        <w:t>validation du recrutement du pilote ;</w:t>
      </w:r>
    </w:p>
    <w:p w:rsidR="0024452D" w:rsidRPr="00102D12" w:rsidRDefault="0024452D" w:rsidP="0024452D">
      <w:pPr>
        <w:pStyle w:val="Default"/>
        <w:jc w:val="both"/>
        <w:rPr>
          <w:color w:val="auto"/>
          <w:sz w:val="22"/>
          <w:szCs w:val="22"/>
        </w:rPr>
      </w:pPr>
      <w:r w:rsidRPr="00102D12">
        <w:rPr>
          <w:color w:val="auto"/>
          <w:sz w:val="22"/>
          <w:szCs w:val="22"/>
          <w:u w:val="single"/>
        </w:rPr>
        <w:t>Octobre 201</w:t>
      </w:r>
      <w:r w:rsidR="00107243" w:rsidRPr="00102D12">
        <w:rPr>
          <w:color w:val="auto"/>
          <w:sz w:val="22"/>
          <w:szCs w:val="22"/>
          <w:u w:val="single"/>
        </w:rPr>
        <w:t>7</w:t>
      </w:r>
      <w:r w:rsidRPr="00102D12">
        <w:rPr>
          <w:color w:val="auto"/>
          <w:sz w:val="22"/>
          <w:szCs w:val="22"/>
        </w:rPr>
        <w:t xml:space="preserve"> : formation des pilotes, porteurs et référents ARS en charge des dispositifs MAIA et recrutement des gestionnaires de cas ;</w:t>
      </w:r>
    </w:p>
    <w:p w:rsidR="008C1BFC" w:rsidRPr="008C1BFC" w:rsidRDefault="0024452D" w:rsidP="0024452D">
      <w:pPr>
        <w:pStyle w:val="Default"/>
        <w:jc w:val="both"/>
        <w:rPr>
          <w:color w:val="auto"/>
          <w:sz w:val="22"/>
          <w:szCs w:val="22"/>
        </w:rPr>
      </w:pPr>
      <w:r w:rsidRPr="00102D12">
        <w:rPr>
          <w:color w:val="auto"/>
          <w:sz w:val="22"/>
          <w:szCs w:val="22"/>
          <w:u w:val="single"/>
        </w:rPr>
        <w:t>Novembre - Décembre 201</w:t>
      </w:r>
      <w:r w:rsidR="00107243" w:rsidRPr="00102D12">
        <w:rPr>
          <w:color w:val="auto"/>
          <w:sz w:val="22"/>
          <w:szCs w:val="22"/>
          <w:u w:val="single"/>
        </w:rPr>
        <w:t>7</w:t>
      </w:r>
      <w:r w:rsidRPr="00102D12">
        <w:rPr>
          <w:color w:val="auto"/>
          <w:sz w:val="22"/>
          <w:szCs w:val="22"/>
        </w:rPr>
        <w:t xml:space="preserve"> : formation des gestionnaires de cas</w:t>
      </w:r>
      <w:r w:rsidR="008C1BFC" w:rsidRPr="00102D12">
        <w:rPr>
          <w:color w:val="auto"/>
          <w:sz w:val="22"/>
          <w:szCs w:val="22"/>
        </w:rPr>
        <w:t>.</w:t>
      </w:r>
      <w:r w:rsidR="008C1BFC" w:rsidRPr="008C1BFC">
        <w:rPr>
          <w:color w:val="auto"/>
          <w:sz w:val="22"/>
          <w:szCs w:val="22"/>
        </w:rPr>
        <w:t xml:space="preserve"> </w:t>
      </w:r>
    </w:p>
    <w:p w:rsidR="008C1BFC" w:rsidRDefault="008C1BFC" w:rsidP="008219B0">
      <w:pPr>
        <w:pStyle w:val="Default"/>
        <w:jc w:val="both"/>
        <w:rPr>
          <w:color w:val="auto"/>
          <w:sz w:val="22"/>
          <w:szCs w:val="22"/>
        </w:rPr>
      </w:pPr>
    </w:p>
    <w:p w:rsidR="00700648" w:rsidRDefault="004605A7" w:rsidP="006E1228">
      <w:pPr>
        <w:pStyle w:val="Titre2"/>
      </w:pPr>
      <w:bookmarkStart w:id="13" w:name="_Toc472932813"/>
      <w:r>
        <w:t>3</w:t>
      </w:r>
      <w:r w:rsidR="00700648">
        <w:t>.2.</w:t>
      </w:r>
      <w:r w:rsidR="00700648">
        <w:tab/>
      </w:r>
      <w:r w:rsidR="00232325" w:rsidRPr="00232325">
        <w:t>Délai et modalités de dépôt des dossiers</w:t>
      </w:r>
      <w:bookmarkEnd w:id="13"/>
    </w:p>
    <w:p w:rsidR="00232325" w:rsidRPr="00563861" w:rsidRDefault="00232325" w:rsidP="00232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3861">
        <w:rPr>
          <w:rFonts w:ascii="Arial" w:hAnsi="Arial" w:cs="Arial"/>
          <w:color w:val="000000"/>
        </w:rPr>
        <w:t xml:space="preserve">Les candidats prendront soin de présenter un dossier de réponse </w:t>
      </w:r>
      <w:r>
        <w:rPr>
          <w:rFonts w:ascii="Arial" w:hAnsi="Arial" w:cs="Arial"/>
          <w:color w:val="000000"/>
        </w:rPr>
        <w:t>en trois</w:t>
      </w:r>
      <w:r w:rsidRPr="00563861">
        <w:rPr>
          <w:rFonts w:ascii="Arial" w:hAnsi="Arial" w:cs="Arial"/>
          <w:color w:val="000000"/>
        </w:rPr>
        <w:t xml:space="preserve"> exemplaires complets, selon les modalités suivantes : </w:t>
      </w:r>
      <w:r>
        <w:rPr>
          <w:rFonts w:ascii="Arial" w:hAnsi="Arial" w:cs="Arial"/>
          <w:color w:val="000000"/>
        </w:rPr>
        <w:t xml:space="preserve">deux </w:t>
      </w:r>
      <w:r w:rsidRPr="00563861">
        <w:rPr>
          <w:rFonts w:ascii="Arial" w:hAnsi="Arial" w:cs="Arial"/>
          <w:color w:val="000000"/>
        </w:rPr>
        <w:t xml:space="preserve">exemplaires </w:t>
      </w:r>
      <w:proofErr w:type="gramStart"/>
      <w:r w:rsidRPr="00563861">
        <w:rPr>
          <w:rFonts w:ascii="Arial" w:hAnsi="Arial" w:cs="Arial"/>
          <w:color w:val="000000"/>
        </w:rPr>
        <w:t>papier</w:t>
      </w:r>
      <w:proofErr w:type="gramEnd"/>
      <w:r w:rsidRPr="00563861">
        <w:rPr>
          <w:rFonts w:ascii="Arial" w:hAnsi="Arial" w:cs="Arial"/>
          <w:color w:val="000000"/>
        </w:rPr>
        <w:t xml:space="preserve"> et un exemplaire enregistré sur un support informatisé (clé USB, CD-Rom) sont adressés, par lettre recommandée avec avis de réception ou par tout moyen permettant d’attester de la date de leur réception, à l’adresse suivante : </w:t>
      </w:r>
    </w:p>
    <w:p w:rsidR="00232325" w:rsidRDefault="00232325" w:rsidP="00232325">
      <w:pPr>
        <w:pStyle w:val="Default"/>
        <w:jc w:val="both"/>
        <w:rPr>
          <w:b/>
          <w:bCs/>
          <w:sz w:val="22"/>
          <w:szCs w:val="22"/>
        </w:rPr>
      </w:pPr>
    </w:p>
    <w:p w:rsidR="00232325" w:rsidRPr="00F820D6" w:rsidRDefault="00232325" w:rsidP="00232325">
      <w:pPr>
        <w:pStyle w:val="Default"/>
        <w:jc w:val="center"/>
        <w:rPr>
          <w:color w:val="000000" w:themeColor="text1"/>
          <w:sz w:val="22"/>
          <w:szCs w:val="22"/>
        </w:rPr>
      </w:pPr>
      <w:r w:rsidRPr="00F820D6">
        <w:rPr>
          <w:rStyle w:val="lev"/>
          <w:color w:val="44668C"/>
          <w:sz w:val="22"/>
          <w:szCs w:val="22"/>
        </w:rPr>
        <w:t>ARS Océan indien</w:t>
      </w:r>
      <w:r w:rsidRPr="00F820D6">
        <w:rPr>
          <w:color w:val="44668C"/>
          <w:sz w:val="22"/>
          <w:szCs w:val="22"/>
        </w:rPr>
        <w:br/>
      </w:r>
      <w:r w:rsidRPr="00F820D6">
        <w:rPr>
          <w:color w:val="000000" w:themeColor="text1"/>
          <w:sz w:val="22"/>
          <w:szCs w:val="22"/>
        </w:rPr>
        <w:t>Service de l’offre médico-sociale</w:t>
      </w:r>
    </w:p>
    <w:p w:rsidR="00232325" w:rsidRPr="00F820D6" w:rsidRDefault="00232325" w:rsidP="00232325">
      <w:pPr>
        <w:pStyle w:val="Default"/>
        <w:jc w:val="center"/>
        <w:rPr>
          <w:color w:val="000000" w:themeColor="text1"/>
          <w:sz w:val="22"/>
          <w:szCs w:val="22"/>
        </w:rPr>
      </w:pPr>
      <w:r w:rsidRPr="00F820D6">
        <w:rPr>
          <w:color w:val="000000" w:themeColor="text1"/>
          <w:sz w:val="22"/>
          <w:szCs w:val="22"/>
        </w:rPr>
        <w:t xml:space="preserve">2 bis avenue Georges Brassens </w:t>
      </w:r>
    </w:p>
    <w:p w:rsidR="00232325" w:rsidRPr="00F820D6" w:rsidRDefault="00232325" w:rsidP="00232325">
      <w:pPr>
        <w:pStyle w:val="Default"/>
        <w:jc w:val="center"/>
        <w:rPr>
          <w:color w:val="000000" w:themeColor="text1"/>
          <w:sz w:val="22"/>
          <w:szCs w:val="22"/>
        </w:rPr>
      </w:pPr>
      <w:r w:rsidRPr="00F820D6">
        <w:rPr>
          <w:color w:val="000000" w:themeColor="text1"/>
          <w:sz w:val="22"/>
          <w:szCs w:val="22"/>
        </w:rPr>
        <w:t>CS 61002</w:t>
      </w:r>
    </w:p>
    <w:p w:rsidR="00232325" w:rsidRPr="00F820D6" w:rsidRDefault="00232325" w:rsidP="00232325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F820D6">
        <w:rPr>
          <w:color w:val="000000" w:themeColor="text1"/>
          <w:sz w:val="22"/>
          <w:szCs w:val="22"/>
        </w:rPr>
        <w:t>97743 Saint-Denis Cedex 9</w:t>
      </w:r>
    </w:p>
    <w:p w:rsidR="00232325" w:rsidRDefault="00232325" w:rsidP="00232325">
      <w:pPr>
        <w:pStyle w:val="Default"/>
        <w:jc w:val="both"/>
        <w:rPr>
          <w:b/>
          <w:bCs/>
          <w:sz w:val="22"/>
          <w:szCs w:val="22"/>
        </w:rPr>
      </w:pPr>
    </w:p>
    <w:p w:rsidR="005E1CA5" w:rsidRDefault="005E1CA5" w:rsidP="00232325">
      <w:pPr>
        <w:pStyle w:val="Default"/>
        <w:jc w:val="both"/>
        <w:rPr>
          <w:b/>
          <w:bCs/>
          <w:sz w:val="22"/>
          <w:szCs w:val="22"/>
        </w:rPr>
      </w:pPr>
      <w:bookmarkStart w:id="14" w:name="_GoBack"/>
      <w:bookmarkEnd w:id="14"/>
    </w:p>
    <w:p w:rsidR="00232325" w:rsidRDefault="00232325" w:rsidP="00232325">
      <w:pPr>
        <w:pStyle w:val="Default"/>
        <w:jc w:val="both"/>
        <w:rPr>
          <w:b/>
          <w:bCs/>
          <w:sz w:val="22"/>
          <w:szCs w:val="22"/>
        </w:rPr>
      </w:pPr>
    </w:p>
    <w:p w:rsidR="00232325" w:rsidRDefault="00232325" w:rsidP="00232325">
      <w:pPr>
        <w:pStyle w:val="Default"/>
        <w:jc w:val="both"/>
        <w:rPr>
          <w:bCs/>
          <w:sz w:val="22"/>
          <w:szCs w:val="22"/>
        </w:rPr>
      </w:pPr>
      <w:r w:rsidRPr="00801705">
        <w:rPr>
          <w:b/>
          <w:bCs/>
          <w:color w:val="FF0000"/>
          <w:sz w:val="22"/>
          <w:szCs w:val="22"/>
        </w:rPr>
        <w:t xml:space="preserve">Date limite de réception ou dépôt des dossiers : </w:t>
      </w:r>
      <w:r w:rsidRPr="00384D75">
        <w:rPr>
          <w:b/>
          <w:bCs/>
          <w:color w:val="FF0000"/>
          <w:sz w:val="22"/>
          <w:szCs w:val="22"/>
          <w:u w:val="single"/>
        </w:rPr>
        <w:t>le</w:t>
      </w:r>
      <w:r w:rsidR="00C82F18">
        <w:rPr>
          <w:b/>
          <w:bCs/>
          <w:color w:val="FF0000"/>
          <w:sz w:val="22"/>
          <w:szCs w:val="22"/>
          <w:u w:val="single"/>
        </w:rPr>
        <w:t xml:space="preserve"> 31 mai </w:t>
      </w:r>
      <w:r w:rsidRPr="00384D75">
        <w:rPr>
          <w:b/>
          <w:bCs/>
          <w:color w:val="FF0000"/>
          <w:sz w:val="22"/>
          <w:szCs w:val="22"/>
          <w:u w:val="single"/>
        </w:rPr>
        <w:t>2017 avant 1</w:t>
      </w:r>
      <w:r>
        <w:rPr>
          <w:b/>
          <w:bCs/>
          <w:color w:val="FF0000"/>
          <w:sz w:val="22"/>
          <w:szCs w:val="22"/>
          <w:u w:val="single"/>
        </w:rPr>
        <w:t>5</w:t>
      </w:r>
      <w:r w:rsidRPr="00384D75">
        <w:rPr>
          <w:b/>
          <w:bCs/>
          <w:color w:val="FF0000"/>
          <w:sz w:val="22"/>
          <w:szCs w:val="22"/>
          <w:u w:val="single"/>
        </w:rPr>
        <w:t xml:space="preserve"> heures</w:t>
      </w:r>
      <w:r w:rsidRPr="00801705">
        <w:rPr>
          <w:bCs/>
          <w:color w:val="FF0000"/>
          <w:sz w:val="22"/>
          <w:szCs w:val="22"/>
        </w:rPr>
        <w:t xml:space="preserve"> </w:t>
      </w:r>
      <w:r w:rsidRPr="00890098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le </w:t>
      </w:r>
      <w:r w:rsidRPr="00890098">
        <w:rPr>
          <w:bCs/>
          <w:sz w:val="22"/>
          <w:szCs w:val="22"/>
        </w:rPr>
        <w:t>cachet de la poste</w:t>
      </w:r>
      <w:r>
        <w:rPr>
          <w:bCs/>
          <w:sz w:val="22"/>
          <w:szCs w:val="22"/>
        </w:rPr>
        <w:t xml:space="preserve"> faisant foi</w:t>
      </w:r>
      <w:r w:rsidRPr="00890098">
        <w:rPr>
          <w:bCs/>
          <w:sz w:val="22"/>
          <w:szCs w:val="22"/>
        </w:rPr>
        <w:t>). Tout dossier réceptionné au-delà</w:t>
      </w:r>
      <w:r>
        <w:rPr>
          <w:bCs/>
          <w:sz w:val="22"/>
          <w:szCs w:val="22"/>
        </w:rPr>
        <w:t xml:space="preserve"> </w:t>
      </w:r>
      <w:r w:rsidRPr="00890098">
        <w:rPr>
          <w:bCs/>
          <w:sz w:val="22"/>
          <w:szCs w:val="22"/>
        </w:rPr>
        <w:t xml:space="preserve">de l’heure et </w:t>
      </w:r>
      <w:proofErr w:type="gramStart"/>
      <w:r w:rsidRPr="00890098">
        <w:rPr>
          <w:bCs/>
          <w:sz w:val="22"/>
          <w:szCs w:val="22"/>
        </w:rPr>
        <w:t>de la</w:t>
      </w:r>
      <w:proofErr w:type="gramEnd"/>
      <w:r w:rsidRPr="00890098">
        <w:rPr>
          <w:bCs/>
          <w:sz w:val="22"/>
          <w:szCs w:val="22"/>
        </w:rPr>
        <w:t xml:space="preserve"> date limite</w:t>
      </w:r>
      <w:r>
        <w:rPr>
          <w:bCs/>
          <w:sz w:val="22"/>
          <w:szCs w:val="22"/>
        </w:rPr>
        <w:t>s</w:t>
      </w:r>
      <w:r w:rsidRPr="00890098">
        <w:rPr>
          <w:bCs/>
          <w:sz w:val="22"/>
          <w:szCs w:val="22"/>
        </w:rPr>
        <w:t xml:space="preserve"> sera renvoyé à l’expéditeur.</w:t>
      </w:r>
    </w:p>
    <w:p w:rsidR="00232325" w:rsidRPr="00890098" w:rsidRDefault="00232325" w:rsidP="00232325">
      <w:pPr>
        <w:pStyle w:val="Default"/>
        <w:jc w:val="both"/>
        <w:rPr>
          <w:bCs/>
          <w:sz w:val="22"/>
          <w:szCs w:val="22"/>
        </w:rPr>
      </w:pPr>
    </w:p>
    <w:p w:rsidR="00232325" w:rsidRPr="00890098" w:rsidRDefault="00232325" w:rsidP="00232325">
      <w:pPr>
        <w:pStyle w:val="Default"/>
        <w:jc w:val="both"/>
        <w:rPr>
          <w:bCs/>
          <w:sz w:val="22"/>
          <w:szCs w:val="22"/>
        </w:rPr>
      </w:pPr>
      <w:r w:rsidRPr="00801705">
        <w:rPr>
          <w:bCs/>
          <w:sz w:val="22"/>
          <w:szCs w:val="22"/>
          <w:u w:val="single"/>
        </w:rPr>
        <w:t>NB</w:t>
      </w:r>
      <w:r w:rsidRPr="00890098">
        <w:rPr>
          <w:bCs/>
          <w:sz w:val="22"/>
          <w:szCs w:val="22"/>
        </w:rPr>
        <w:t xml:space="preserve"> : Les candidats qui souhaitent déposer leur dossier en main propre peuvent le faire les jours</w:t>
      </w:r>
      <w:r>
        <w:rPr>
          <w:bCs/>
          <w:sz w:val="22"/>
          <w:szCs w:val="22"/>
        </w:rPr>
        <w:t xml:space="preserve"> </w:t>
      </w:r>
      <w:r w:rsidRPr="00890098">
        <w:rPr>
          <w:bCs/>
          <w:sz w:val="22"/>
          <w:szCs w:val="22"/>
        </w:rPr>
        <w:t xml:space="preserve">ouvrés, de </w:t>
      </w:r>
      <w:r>
        <w:rPr>
          <w:bCs/>
          <w:sz w:val="22"/>
          <w:szCs w:val="22"/>
        </w:rPr>
        <w:t>8</w:t>
      </w:r>
      <w:r w:rsidRPr="00890098">
        <w:rPr>
          <w:bCs/>
          <w:sz w:val="22"/>
          <w:szCs w:val="22"/>
        </w:rPr>
        <w:t xml:space="preserve">h à 12h </w:t>
      </w:r>
      <w:r>
        <w:rPr>
          <w:bCs/>
          <w:sz w:val="22"/>
          <w:szCs w:val="22"/>
        </w:rPr>
        <w:t>puis</w:t>
      </w:r>
      <w:r w:rsidRPr="00890098">
        <w:rPr>
          <w:bCs/>
          <w:sz w:val="22"/>
          <w:szCs w:val="22"/>
        </w:rPr>
        <w:t xml:space="preserve"> de 1</w:t>
      </w:r>
      <w:r>
        <w:rPr>
          <w:bCs/>
          <w:sz w:val="22"/>
          <w:szCs w:val="22"/>
        </w:rPr>
        <w:t>3</w:t>
      </w:r>
      <w:r w:rsidRPr="00890098">
        <w:rPr>
          <w:bCs/>
          <w:sz w:val="22"/>
          <w:szCs w:val="22"/>
        </w:rPr>
        <w:t>h à 16h</w:t>
      </w:r>
      <w:r>
        <w:rPr>
          <w:bCs/>
          <w:sz w:val="22"/>
          <w:szCs w:val="22"/>
        </w:rPr>
        <w:t>, 15h le vendredi</w:t>
      </w:r>
      <w:r w:rsidRPr="00890098">
        <w:rPr>
          <w:bCs/>
          <w:sz w:val="22"/>
          <w:szCs w:val="22"/>
        </w:rPr>
        <w:t>.</w:t>
      </w:r>
    </w:p>
    <w:p w:rsidR="00232325" w:rsidRDefault="00232325" w:rsidP="00232325">
      <w:pPr>
        <w:pStyle w:val="Default"/>
        <w:jc w:val="both"/>
        <w:rPr>
          <w:b/>
          <w:bCs/>
          <w:sz w:val="22"/>
          <w:szCs w:val="22"/>
        </w:rPr>
      </w:pPr>
    </w:p>
    <w:p w:rsidR="00FE6994" w:rsidRDefault="00FE6994" w:rsidP="00FE6994">
      <w:pPr>
        <w:pStyle w:val="Default"/>
        <w:jc w:val="both"/>
        <w:rPr>
          <w:color w:val="auto"/>
          <w:sz w:val="22"/>
          <w:szCs w:val="22"/>
        </w:rPr>
      </w:pPr>
    </w:p>
    <w:p w:rsidR="00B77FD1" w:rsidRDefault="00B77FD1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bookmarkStart w:id="15" w:name="_Toc472932814"/>
      <w:r>
        <w:br w:type="page"/>
      </w:r>
    </w:p>
    <w:p w:rsidR="00232325" w:rsidRDefault="00D300D4" w:rsidP="006E1228">
      <w:pPr>
        <w:pStyle w:val="Titre2"/>
      </w:pPr>
      <w:r>
        <w:t>3</w:t>
      </w:r>
      <w:r w:rsidR="00232325">
        <w:t>.3.</w:t>
      </w:r>
      <w:r w:rsidR="00232325">
        <w:tab/>
        <w:t>Contenu du dossier de candidature</w:t>
      </w:r>
      <w:bookmarkEnd w:id="15"/>
    </w:p>
    <w:p w:rsidR="005E1CA5" w:rsidRPr="005E1CA5" w:rsidRDefault="005E1CA5" w:rsidP="005E1CA5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5E1CA5">
        <w:rPr>
          <w:b/>
          <w:color w:val="auto"/>
          <w:sz w:val="22"/>
          <w:szCs w:val="22"/>
        </w:rPr>
        <w:t xml:space="preserve">une note présentant (maximum 30 pages) : </w:t>
      </w:r>
    </w:p>
    <w:p w:rsidR="005E1CA5" w:rsidRDefault="005E1CA5" w:rsidP="005E1CA5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 xml:space="preserve">l’historique des partenariats, de la coordination sur le territoire concerné, </w:t>
      </w:r>
    </w:p>
    <w:p w:rsidR="005E1CA5" w:rsidRDefault="005E1CA5" w:rsidP="005E1CA5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 xml:space="preserve">la liste des partenaires engagés dans le projet, les modalités de coopérations actuelles et leur degré de formalisation </w:t>
      </w:r>
    </w:p>
    <w:p w:rsidR="005E1CA5" w:rsidRDefault="005E1CA5" w:rsidP="005E1CA5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 xml:space="preserve">une description du projet, de sa conduite et de ses objectifs qualitatifs et qualitatifs selon les éléments du cahier des charges : la faisabilité du projet, les partenariats prévus, son calendrier, l’organisation des moyens envisagés (notamment définition du territoire initial du porteur et ses perspectives d’évolution ; estimation du nombre de gestionnaires de cas nécessaires en précisant les modalités d’estimation), les objectifs quantitatifs et qualitatifs prévus… </w:t>
      </w:r>
    </w:p>
    <w:p w:rsidR="005E1CA5" w:rsidRDefault="005E1CA5" w:rsidP="005E1CA5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 xml:space="preserve">en quoi le projet correspond à un dispositif intégré et en quoi il répond aux réalités locales </w:t>
      </w:r>
    </w:p>
    <w:p w:rsidR="005E1CA5" w:rsidRPr="005E1CA5" w:rsidRDefault="005E1CA5" w:rsidP="005E1CA5">
      <w:pPr>
        <w:pStyle w:val="Default"/>
        <w:ind w:left="1440"/>
        <w:jc w:val="both"/>
        <w:rPr>
          <w:color w:val="auto"/>
          <w:sz w:val="22"/>
          <w:szCs w:val="22"/>
        </w:rPr>
      </w:pPr>
    </w:p>
    <w:p w:rsidR="005E1CA5" w:rsidRDefault="005E1CA5" w:rsidP="005E1CA5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l</w:t>
      </w:r>
      <w:r w:rsidRPr="005E1CA5">
        <w:rPr>
          <w:b/>
          <w:color w:val="auto"/>
          <w:sz w:val="22"/>
          <w:szCs w:val="22"/>
        </w:rPr>
        <w:t xml:space="preserve">es documents formalisant l’engagement des partenaires </w:t>
      </w:r>
      <w:r w:rsidRPr="005E1CA5">
        <w:rPr>
          <w:color w:val="auto"/>
          <w:sz w:val="22"/>
          <w:szCs w:val="22"/>
        </w:rPr>
        <w:t xml:space="preserve">(lettres d’engagement, conventions existantes, etc.) </w:t>
      </w:r>
      <w:r>
        <w:rPr>
          <w:b/>
          <w:color w:val="auto"/>
          <w:sz w:val="22"/>
          <w:szCs w:val="22"/>
        </w:rPr>
        <w:t>et u</w:t>
      </w:r>
      <w:r w:rsidRPr="005E1CA5">
        <w:rPr>
          <w:b/>
          <w:color w:val="auto"/>
          <w:sz w:val="22"/>
          <w:szCs w:val="22"/>
        </w:rPr>
        <w:t>n tableau récapitulatif list</w:t>
      </w:r>
      <w:r>
        <w:rPr>
          <w:b/>
          <w:color w:val="auto"/>
          <w:sz w:val="22"/>
          <w:szCs w:val="22"/>
        </w:rPr>
        <w:t>ant</w:t>
      </w:r>
      <w:r w:rsidRPr="005E1CA5">
        <w:rPr>
          <w:b/>
          <w:color w:val="auto"/>
          <w:sz w:val="22"/>
          <w:szCs w:val="22"/>
        </w:rPr>
        <w:t xml:space="preserve"> ces documents, leur nat</w:t>
      </w:r>
      <w:r>
        <w:rPr>
          <w:b/>
          <w:color w:val="auto"/>
          <w:sz w:val="22"/>
          <w:szCs w:val="22"/>
        </w:rPr>
        <w:t>ure et les partenaires engagés</w:t>
      </w:r>
    </w:p>
    <w:p w:rsidR="005E1CA5" w:rsidRPr="005E1CA5" w:rsidRDefault="005E1CA5" w:rsidP="005E1CA5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5E1CA5" w:rsidRDefault="005E1CA5" w:rsidP="005E1CA5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5E1CA5">
        <w:rPr>
          <w:b/>
          <w:color w:val="auto"/>
          <w:sz w:val="22"/>
          <w:szCs w:val="22"/>
        </w:rPr>
        <w:t xml:space="preserve">l’engagement par le porteur de recruter au plus tôt </w:t>
      </w:r>
      <w:r w:rsidRPr="00A4630B">
        <w:rPr>
          <w:color w:val="auto"/>
          <w:sz w:val="22"/>
          <w:szCs w:val="22"/>
        </w:rPr>
        <w:t>(</w:t>
      </w:r>
      <w:r w:rsidR="00A4630B" w:rsidRPr="00A4630B">
        <w:rPr>
          <w:color w:val="auto"/>
          <w:sz w:val="22"/>
          <w:szCs w:val="22"/>
        </w:rPr>
        <w:t>août 2017</w:t>
      </w:r>
      <w:r w:rsidRPr="00A4630B">
        <w:rPr>
          <w:color w:val="auto"/>
          <w:sz w:val="22"/>
          <w:szCs w:val="22"/>
        </w:rPr>
        <w:t>)</w:t>
      </w:r>
      <w:r w:rsidRPr="005E1CA5">
        <w:rPr>
          <w:b/>
          <w:color w:val="auto"/>
          <w:sz w:val="22"/>
          <w:szCs w:val="22"/>
        </w:rPr>
        <w:t xml:space="preserve"> un pilote avec un ou plusieurs CV joints au dossier </w:t>
      </w:r>
    </w:p>
    <w:p w:rsidR="005E1CA5" w:rsidRDefault="005E1CA5" w:rsidP="005E1CA5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5E1CA5" w:rsidRPr="005E1CA5" w:rsidRDefault="005E1CA5" w:rsidP="005E1CA5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5E1CA5">
        <w:rPr>
          <w:b/>
          <w:color w:val="auto"/>
          <w:sz w:val="22"/>
          <w:szCs w:val="22"/>
        </w:rPr>
        <w:t xml:space="preserve">les pièces administratives </w:t>
      </w:r>
      <w:r>
        <w:rPr>
          <w:b/>
          <w:color w:val="auto"/>
          <w:sz w:val="22"/>
          <w:szCs w:val="22"/>
        </w:rPr>
        <w:t>inhérentes à toute demande de financement public :</w:t>
      </w:r>
      <w:r w:rsidRPr="005E1CA5">
        <w:rPr>
          <w:b/>
          <w:color w:val="auto"/>
          <w:sz w:val="22"/>
          <w:szCs w:val="22"/>
        </w:rPr>
        <w:t xml:space="preserve"> </w:t>
      </w:r>
    </w:p>
    <w:p w:rsidR="005E1CA5" w:rsidRPr="005E1CA5" w:rsidRDefault="005E1CA5" w:rsidP="0005475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 xml:space="preserve">le dossier de financement : formulaire à renseigner (annexe financière) </w:t>
      </w:r>
    </w:p>
    <w:p w:rsidR="005E1CA5" w:rsidRPr="005E1CA5" w:rsidRDefault="005E1CA5" w:rsidP="0005475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et, pour un porteur privé à but non lucratif :</w:t>
      </w:r>
    </w:p>
    <w:p w:rsidR="005E1CA5" w:rsidRPr="005E1CA5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copie des statuts</w:t>
      </w:r>
    </w:p>
    <w:p w:rsidR="005E1CA5" w:rsidRPr="005E1CA5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récépissé de déclaration en Préfecture et, le cas échéant, des modifications</w:t>
      </w:r>
    </w:p>
    <w:p w:rsidR="005E1CA5" w:rsidRPr="005E1CA5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derniers comptes annuels approuvés</w:t>
      </w:r>
    </w:p>
    <w:p w:rsidR="005E1CA5" w:rsidRPr="005E1CA5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copie du dernier rapport du Commissaire aux comptes</w:t>
      </w:r>
    </w:p>
    <w:p w:rsidR="00700648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dernier rapport d’activité de l’organisme</w:t>
      </w:r>
    </w:p>
    <w:p w:rsidR="00386C6F" w:rsidRDefault="00386C6F" w:rsidP="00386C6F">
      <w:pPr>
        <w:pStyle w:val="Default"/>
        <w:ind w:left="2160"/>
        <w:jc w:val="both"/>
        <w:rPr>
          <w:color w:val="auto"/>
          <w:sz w:val="22"/>
          <w:szCs w:val="22"/>
        </w:rPr>
      </w:pPr>
    </w:p>
    <w:p w:rsidR="005E1CA5" w:rsidRDefault="005E1CA5" w:rsidP="005E1CA5">
      <w:pPr>
        <w:pStyle w:val="Default"/>
        <w:jc w:val="both"/>
        <w:rPr>
          <w:color w:val="auto"/>
          <w:sz w:val="22"/>
          <w:szCs w:val="22"/>
        </w:rPr>
      </w:pPr>
    </w:p>
    <w:p w:rsidR="00386C6F" w:rsidRDefault="00386C6F" w:rsidP="005E1CA5">
      <w:pPr>
        <w:pStyle w:val="Default"/>
        <w:jc w:val="both"/>
        <w:rPr>
          <w:color w:val="auto"/>
          <w:sz w:val="22"/>
          <w:szCs w:val="22"/>
        </w:rPr>
        <w:sectPr w:rsidR="00386C6F" w:rsidSect="00BA4B4C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418" w:left="1418" w:header="510" w:footer="709" w:gutter="0"/>
          <w:cols w:space="708"/>
          <w:docGrid w:linePitch="360"/>
        </w:sectPr>
      </w:pPr>
    </w:p>
    <w:p w:rsidR="00A4630B" w:rsidRDefault="00A4630B" w:rsidP="005E1CA5">
      <w:pPr>
        <w:pStyle w:val="Default"/>
        <w:jc w:val="both"/>
        <w:rPr>
          <w:color w:val="auto"/>
          <w:sz w:val="22"/>
          <w:szCs w:val="22"/>
        </w:rPr>
      </w:pPr>
    </w:p>
    <w:p w:rsidR="008E1A3D" w:rsidRDefault="008E1A3D"/>
    <w:p w:rsidR="00277C5D" w:rsidRDefault="00277C5D">
      <w:pPr>
        <w:rPr>
          <w:rFonts w:ascii="Arial" w:hAnsi="Arial" w:cs="Arial"/>
        </w:rPr>
      </w:pPr>
    </w:p>
    <w:p w:rsidR="00780EF3" w:rsidRDefault="003E61AF" w:rsidP="00780EF3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  <w:r w:rsidRPr="00780EF3">
        <w:rPr>
          <w:b/>
          <w:bCs/>
          <w:sz w:val="36"/>
          <w:szCs w:val="36"/>
          <w:u w:val="single"/>
        </w:rPr>
        <w:t>Annexe 2</w:t>
      </w:r>
      <w:r w:rsidRPr="00780EF3">
        <w:rPr>
          <w:b/>
          <w:bCs/>
          <w:sz w:val="36"/>
          <w:szCs w:val="36"/>
        </w:rPr>
        <w:t xml:space="preserve"> : </w:t>
      </w:r>
    </w:p>
    <w:p w:rsidR="00D97675" w:rsidRPr="00780EF3" w:rsidRDefault="005739D4" w:rsidP="00780EF3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Dossier de financement</w:t>
      </w:r>
      <w:r w:rsidR="003E61AF" w:rsidRPr="00780EF3">
        <w:rPr>
          <w:b/>
          <w:bCs/>
          <w:sz w:val="36"/>
          <w:szCs w:val="36"/>
        </w:rPr>
        <w:t xml:space="preserve"> </w:t>
      </w:r>
      <w:r w:rsidR="0005475B">
        <w:rPr>
          <w:b/>
          <w:bCs/>
          <w:sz w:val="36"/>
          <w:szCs w:val="36"/>
        </w:rPr>
        <w:t>des projets de MAIA</w:t>
      </w:r>
    </w:p>
    <w:p w:rsidR="003E61AF" w:rsidRDefault="003E61AF" w:rsidP="008C1BFC">
      <w:pPr>
        <w:pStyle w:val="Default"/>
        <w:rPr>
          <w:color w:val="auto"/>
          <w:sz w:val="22"/>
          <w:szCs w:val="22"/>
        </w:rPr>
      </w:pPr>
    </w:p>
    <w:p w:rsidR="005739D4" w:rsidRDefault="005739D4" w:rsidP="008C1BFC">
      <w:pPr>
        <w:pStyle w:val="Default"/>
        <w:rPr>
          <w:color w:val="auto"/>
          <w:sz w:val="22"/>
          <w:szCs w:val="22"/>
        </w:rPr>
      </w:pPr>
    </w:p>
    <w:p w:rsidR="005739D4" w:rsidRDefault="005739D4" w:rsidP="008C1BFC">
      <w:pPr>
        <w:pStyle w:val="Default"/>
        <w:rPr>
          <w:color w:val="auto"/>
          <w:sz w:val="22"/>
          <w:szCs w:val="22"/>
        </w:rPr>
      </w:pPr>
      <w:r w:rsidRPr="005739D4">
        <w:rPr>
          <w:noProof/>
          <w:lang w:eastAsia="fr-FR"/>
        </w:rPr>
        <w:drawing>
          <wp:inline distT="0" distB="0" distL="0" distR="0" wp14:anchorId="14CD8969" wp14:editId="2C1D2FAD">
            <wp:extent cx="8891270" cy="3409381"/>
            <wp:effectExtent l="0" t="0" r="508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0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D4" w:rsidRDefault="005739D4" w:rsidP="008C1BFC">
      <w:pPr>
        <w:pStyle w:val="Default"/>
        <w:rPr>
          <w:color w:val="auto"/>
          <w:sz w:val="22"/>
          <w:szCs w:val="22"/>
        </w:rPr>
      </w:pPr>
    </w:p>
    <w:p w:rsidR="005739D4" w:rsidRDefault="005739D4" w:rsidP="008C1BFC">
      <w:pPr>
        <w:pStyle w:val="Default"/>
        <w:rPr>
          <w:color w:val="auto"/>
          <w:sz w:val="22"/>
          <w:szCs w:val="22"/>
        </w:rPr>
      </w:pPr>
    </w:p>
    <w:p w:rsidR="00ED582F" w:rsidRDefault="00ED582F" w:rsidP="008C1BFC">
      <w:pPr>
        <w:pStyle w:val="Default"/>
        <w:rPr>
          <w:color w:val="auto"/>
          <w:sz w:val="22"/>
          <w:szCs w:val="22"/>
        </w:rPr>
      </w:pPr>
    </w:p>
    <w:p w:rsidR="005739D4" w:rsidRDefault="00ED582F" w:rsidP="008C1BFC">
      <w:pPr>
        <w:pStyle w:val="Default"/>
        <w:rPr>
          <w:color w:val="auto"/>
          <w:sz w:val="22"/>
          <w:szCs w:val="22"/>
        </w:rPr>
      </w:pPr>
      <w:r w:rsidRPr="00ED582F">
        <w:rPr>
          <w:noProof/>
          <w:lang w:eastAsia="fr-FR"/>
        </w:rPr>
        <w:drawing>
          <wp:inline distT="0" distB="0" distL="0" distR="0" wp14:anchorId="72AB0F52" wp14:editId="2777B593">
            <wp:extent cx="8496300" cy="488580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4"/>
                    <a:stretch/>
                  </pic:blipFill>
                  <pic:spPr bwMode="auto">
                    <a:xfrm>
                      <a:off x="0" y="0"/>
                      <a:ext cx="8500550" cy="488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82F" w:rsidRDefault="00ED582F">
      <w:pPr>
        <w:rPr>
          <w:rFonts w:ascii="Arial" w:hAnsi="Arial" w:cs="Arial"/>
        </w:rPr>
      </w:pPr>
      <w:r>
        <w:br w:type="page"/>
      </w:r>
    </w:p>
    <w:p w:rsidR="005739D4" w:rsidRDefault="005739D4" w:rsidP="008C1BFC">
      <w:pPr>
        <w:pStyle w:val="Default"/>
        <w:rPr>
          <w:color w:val="auto"/>
          <w:sz w:val="22"/>
          <w:szCs w:val="22"/>
        </w:rPr>
      </w:pPr>
    </w:p>
    <w:p w:rsidR="00ED582F" w:rsidRDefault="00ED582F" w:rsidP="008C1BFC">
      <w:pPr>
        <w:pStyle w:val="Default"/>
        <w:rPr>
          <w:color w:val="auto"/>
          <w:sz w:val="22"/>
          <w:szCs w:val="22"/>
        </w:rPr>
      </w:pPr>
      <w:r w:rsidRPr="00ED582F">
        <w:rPr>
          <w:noProof/>
          <w:lang w:eastAsia="fr-FR"/>
        </w:rPr>
        <w:drawing>
          <wp:inline distT="0" distB="0" distL="0" distR="0" wp14:anchorId="4DECEBA7" wp14:editId="15193C96">
            <wp:extent cx="8891270" cy="4198294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9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2F" w:rsidRDefault="00ED582F">
      <w:pPr>
        <w:rPr>
          <w:rFonts w:ascii="Arial" w:hAnsi="Arial" w:cs="Arial"/>
        </w:rPr>
      </w:pPr>
      <w:r>
        <w:br w:type="page"/>
      </w:r>
    </w:p>
    <w:p w:rsidR="00ED582F" w:rsidRDefault="00ED582F" w:rsidP="008C1BFC">
      <w:pPr>
        <w:pStyle w:val="Default"/>
        <w:rPr>
          <w:color w:val="auto"/>
          <w:sz w:val="22"/>
          <w:szCs w:val="22"/>
        </w:rPr>
      </w:pPr>
      <w:r w:rsidRPr="00ED582F">
        <w:rPr>
          <w:noProof/>
          <w:lang w:eastAsia="fr-FR"/>
        </w:rPr>
        <w:drawing>
          <wp:inline distT="0" distB="0" distL="0" distR="0" wp14:anchorId="25A444EC" wp14:editId="29F4DC11">
            <wp:extent cx="9105400" cy="5514975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17"/>
                    <a:stretch/>
                  </pic:blipFill>
                  <pic:spPr bwMode="auto">
                    <a:xfrm>
                      <a:off x="0" y="0"/>
                      <a:ext cx="9114521" cy="552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82F" w:rsidRDefault="00ED582F" w:rsidP="008C1BFC">
      <w:pPr>
        <w:pStyle w:val="Default"/>
        <w:rPr>
          <w:color w:val="auto"/>
          <w:sz w:val="22"/>
          <w:szCs w:val="22"/>
        </w:rPr>
      </w:pPr>
      <w:r w:rsidRPr="00ED582F">
        <w:rPr>
          <w:noProof/>
          <w:lang w:eastAsia="fr-FR"/>
        </w:rPr>
        <w:drawing>
          <wp:inline distT="0" distB="0" distL="0" distR="0" wp14:anchorId="56103244" wp14:editId="46653F08">
            <wp:extent cx="8891270" cy="4139713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2F" w:rsidRDefault="00ED582F" w:rsidP="008C1BFC">
      <w:pPr>
        <w:pStyle w:val="Default"/>
        <w:rPr>
          <w:color w:val="auto"/>
          <w:sz w:val="22"/>
          <w:szCs w:val="22"/>
        </w:rPr>
      </w:pPr>
    </w:p>
    <w:p w:rsidR="00ED582F" w:rsidRDefault="00ED582F" w:rsidP="008C1BFC">
      <w:pPr>
        <w:pStyle w:val="Default"/>
        <w:rPr>
          <w:color w:val="auto"/>
          <w:sz w:val="22"/>
          <w:szCs w:val="22"/>
        </w:rPr>
      </w:pPr>
    </w:p>
    <w:p w:rsidR="002F0C4C" w:rsidRDefault="002F0C4C">
      <w:pPr>
        <w:rPr>
          <w:rFonts w:ascii="Arial" w:hAnsi="Arial" w:cs="Arial"/>
        </w:rPr>
      </w:pPr>
      <w:r>
        <w:br w:type="page"/>
      </w:r>
    </w:p>
    <w:p w:rsidR="00ED582F" w:rsidRDefault="002F0C4C" w:rsidP="008C1BFC">
      <w:pPr>
        <w:pStyle w:val="Default"/>
        <w:rPr>
          <w:color w:val="auto"/>
          <w:sz w:val="22"/>
          <w:szCs w:val="22"/>
        </w:rPr>
      </w:pPr>
      <w:r w:rsidRPr="002F0C4C">
        <w:rPr>
          <w:noProof/>
          <w:lang w:eastAsia="fr-FR"/>
        </w:rPr>
        <w:drawing>
          <wp:inline distT="0" distB="0" distL="0" distR="0" wp14:anchorId="6E41D3DA" wp14:editId="6E694E46">
            <wp:extent cx="8891270" cy="5910156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91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82F" w:rsidSect="00386C6F">
      <w:headerReference w:type="first" r:id="rId20"/>
      <w:pgSz w:w="16838" w:h="11906" w:orient="landscape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1D" w:rsidRDefault="00457A1D" w:rsidP="00154D9C">
      <w:pPr>
        <w:spacing w:after="0" w:line="240" w:lineRule="auto"/>
      </w:pPr>
      <w:r>
        <w:separator/>
      </w:r>
    </w:p>
  </w:endnote>
  <w:endnote w:type="continuationSeparator" w:id="0">
    <w:p w:rsidR="00457A1D" w:rsidRDefault="00457A1D" w:rsidP="0015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457A1D">
      <w:tc>
        <w:tcPr>
          <w:tcW w:w="918" w:type="dxa"/>
        </w:tcPr>
        <w:p w:rsidR="00457A1D" w:rsidRDefault="00457A1D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20639" w:rsidRPr="0072063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57A1D" w:rsidRDefault="00457A1D">
          <w:pPr>
            <w:pStyle w:val="Pieddepage"/>
          </w:pPr>
        </w:p>
      </w:tc>
    </w:tr>
  </w:tbl>
  <w:p w:rsidR="00457A1D" w:rsidRDefault="00457A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1D" w:rsidRDefault="00457A1D" w:rsidP="00154D9C">
      <w:pPr>
        <w:spacing w:after="0" w:line="240" w:lineRule="auto"/>
      </w:pPr>
      <w:r>
        <w:separator/>
      </w:r>
    </w:p>
  </w:footnote>
  <w:footnote w:type="continuationSeparator" w:id="0">
    <w:p w:rsidR="00457A1D" w:rsidRDefault="00457A1D" w:rsidP="0015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1D" w:rsidRDefault="00BA4B4C" w:rsidP="00BA4B4C">
    <w:pPr>
      <w:pStyle w:val="En-tte"/>
      <w:jc w:val="right"/>
    </w:pPr>
    <w:r w:rsidRPr="00BA4B4C">
      <w:rPr>
        <w:rFonts w:ascii="Arial Narrow" w:eastAsia="Times New Roman" w:hAnsi="Arial Narrow" w:cs="Times New Roman"/>
        <w:sz w:val="14"/>
        <w:szCs w:val="14"/>
        <w:u w:val="single"/>
        <w:lang w:bidi="en-US"/>
      </w:rPr>
      <w:t>Appel à candidatures «MAIA – n°03/AAC/ARSOI/2017»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1D" w:rsidRDefault="00457A1D" w:rsidP="00154D9C">
    <w:pPr>
      <w:pStyle w:val="En-tte"/>
      <w:ind w:left="-851"/>
    </w:pPr>
    <w:r>
      <w:rPr>
        <w:noProof/>
        <w:lang w:eastAsia="fr-FR"/>
      </w:rPr>
      <w:drawing>
        <wp:inline distT="0" distB="0" distL="0" distR="0" wp14:anchorId="26C8F61F" wp14:editId="0696D1CA">
          <wp:extent cx="2657475" cy="1534103"/>
          <wp:effectExtent l="0" t="0" r="0" b="9525"/>
          <wp:docPr id="2" name="Image 2" descr="http://www.intranet.ars.sante.fr/fileadmin/private/OceanIndien/Notre_ARS/ARS-OI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ntranet.ars.sante.fr/fileadmin/private/OceanIndien/Notre_ARS/ARS-OI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648" cy="153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1D" w:rsidRDefault="00457A1D" w:rsidP="00154D9C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5ED"/>
    <w:multiLevelType w:val="hybridMultilevel"/>
    <w:tmpl w:val="288C0AB8"/>
    <w:lvl w:ilvl="0" w:tplc="129419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A5D"/>
    <w:multiLevelType w:val="hybridMultilevel"/>
    <w:tmpl w:val="AE8CC16A"/>
    <w:lvl w:ilvl="0" w:tplc="E858FC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2609"/>
    <w:multiLevelType w:val="hybridMultilevel"/>
    <w:tmpl w:val="7EDE7CBC"/>
    <w:lvl w:ilvl="0" w:tplc="2E446440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CD125B"/>
    <w:multiLevelType w:val="hybridMultilevel"/>
    <w:tmpl w:val="77522798"/>
    <w:lvl w:ilvl="0" w:tplc="F19229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65162"/>
    <w:multiLevelType w:val="hybridMultilevel"/>
    <w:tmpl w:val="D1649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FC"/>
    <w:rsid w:val="00000DE3"/>
    <w:rsid w:val="0000175C"/>
    <w:rsid w:val="0000619A"/>
    <w:rsid w:val="00037E14"/>
    <w:rsid w:val="00047A10"/>
    <w:rsid w:val="000500D7"/>
    <w:rsid w:val="0005475B"/>
    <w:rsid w:val="00056E9F"/>
    <w:rsid w:val="000808F7"/>
    <w:rsid w:val="00093288"/>
    <w:rsid w:val="000C5F88"/>
    <w:rsid w:val="000D2280"/>
    <w:rsid w:val="000E3B36"/>
    <w:rsid w:val="000F6D26"/>
    <w:rsid w:val="00100BAB"/>
    <w:rsid w:val="00102D12"/>
    <w:rsid w:val="00107243"/>
    <w:rsid w:val="00154D9C"/>
    <w:rsid w:val="00170509"/>
    <w:rsid w:val="001B0DB4"/>
    <w:rsid w:val="001B2EB9"/>
    <w:rsid w:val="001C097E"/>
    <w:rsid w:val="001C78C0"/>
    <w:rsid w:val="001D77DC"/>
    <w:rsid w:val="001F13EA"/>
    <w:rsid w:val="001F7764"/>
    <w:rsid w:val="00207426"/>
    <w:rsid w:val="00232325"/>
    <w:rsid w:val="0024452D"/>
    <w:rsid w:val="00247791"/>
    <w:rsid w:val="002614AC"/>
    <w:rsid w:val="00277C5D"/>
    <w:rsid w:val="002A6550"/>
    <w:rsid w:val="002C55D8"/>
    <w:rsid w:val="002D0B11"/>
    <w:rsid w:val="002E2533"/>
    <w:rsid w:val="002F0C4C"/>
    <w:rsid w:val="0030240B"/>
    <w:rsid w:val="00320D47"/>
    <w:rsid w:val="00332BA4"/>
    <w:rsid w:val="0034551B"/>
    <w:rsid w:val="00353433"/>
    <w:rsid w:val="00386C6F"/>
    <w:rsid w:val="00386D83"/>
    <w:rsid w:val="00390CF9"/>
    <w:rsid w:val="00391688"/>
    <w:rsid w:val="003A6F5C"/>
    <w:rsid w:val="003B3BE0"/>
    <w:rsid w:val="003C2AFF"/>
    <w:rsid w:val="003C4BB1"/>
    <w:rsid w:val="003D5A93"/>
    <w:rsid w:val="003E00C8"/>
    <w:rsid w:val="003E61AF"/>
    <w:rsid w:val="003F58E0"/>
    <w:rsid w:val="00423334"/>
    <w:rsid w:val="0043521D"/>
    <w:rsid w:val="00436BC4"/>
    <w:rsid w:val="00450AB5"/>
    <w:rsid w:val="00454098"/>
    <w:rsid w:val="00457A1D"/>
    <w:rsid w:val="004605A7"/>
    <w:rsid w:val="004941B0"/>
    <w:rsid w:val="004A0204"/>
    <w:rsid w:val="004A5202"/>
    <w:rsid w:val="004B7534"/>
    <w:rsid w:val="004E2C12"/>
    <w:rsid w:val="004E7724"/>
    <w:rsid w:val="005211DB"/>
    <w:rsid w:val="00531C30"/>
    <w:rsid w:val="005739D4"/>
    <w:rsid w:val="005A67C4"/>
    <w:rsid w:val="005A74FE"/>
    <w:rsid w:val="005D2560"/>
    <w:rsid w:val="005E1CA5"/>
    <w:rsid w:val="005E4471"/>
    <w:rsid w:val="006241C4"/>
    <w:rsid w:val="00636A2C"/>
    <w:rsid w:val="00652A5A"/>
    <w:rsid w:val="00655F13"/>
    <w:rsid w:val="00660469"/>
    <w:rsid w:val="006902A9"/>
    <w:rsid w:val="006A5FC0"/>
    <w:rsid w:val="006B173B"/>
    <w:rsid w:val="006B2812"/>
    <w:rsid w:val="006B32C6"/>
    <w:rsid w:val="006D7869"/>
    <w:rsid w:val="006E1228"/>
    <w:rsid w:val="00700648"/>
    <w:rsid w:val="007127EA"/>
    <w:rsid w:val="00720639"/>
    <w:rsid w:val="00752913"/>
    <w:rsid w:val="00752FC2"/>
    <w:rsid w:val="00776C8E"/>
    <w:rsid w:val="00780EF3"/>
    <w:rsid w:val="00784C76"/>
    <w:rsid w:val="007858F9"/>
    <w:rsid w:val="007862EA"/>
    <w:rsid w:val="00794850"/>
    <w:rsid w:val="007A045C"/>
    <w:rsid w:val="007A13FD"/>
    <w:rsid w:val="007A6F17"/>
    <w:rsid w:val="007A7604"/>
    <w:rsid w:val="007B2583"/>
    <w:rsid w:val="007B546C"/>
    <w:rsid w:val="007C786F"/>
    <w:rsid w:val="007D3163"/>
    <w:rsid w:val="007E6200"/>
    <w:rsid w:val="007F5A12"/>
    <w:rsid w:val="008219B0"/>
    <w:rsid w:val="00821E62"/>
    <w:rsid w:val="00822691"/>
    <w:rsid w:val="00834A02"/>
    <w:rsid w:val="008409BD"/>
    <w:rsid w:val="00880DDA"/>
    <w:rsid w:val="00885889"/>
    <w:rsid w:val="00894EA5"/>
    <w:rsid w:val="008A24D4"/>
    <w:rsid w:val="008A303F"/>
    <w:rsid w:val="008A4F39"/>
    <w:rsid w:val="008B7141"/>
    <w:rsid w:val="008C1BFC"/>
    <w:rsid w:val="008D44CF"/>
    <w:rsid w:val="008E0A0C"/>
    <w:rsid w:val="008E1A3D"/>
    <w:rsid w:val="008E2262"/>
    <w:rsid w:val="008E5D57"/>
    <w:rsid w:val="008E62F3"/>
    <w:rsid w:val="008F2759"/>
    <w:rsid w:val="008F5A32"/>
    <w:rsid w:val="00924A6B"/>
    <w:rsid w:val="0095241F"/>
    <w:rsid w:val="00981B23"/>
    <w:rsid w:val="00992E73"/>
    <w:rsid w:val="009B1676"/>
    <w:rsid w:val="009D3884"/>
    <w:rsid w:val="009D48C1"/>
    <w:rsid w:val="009D7255"/>
    <w:rsid w:val="009E4C82"/>
    <w:rsid w:val="00A33174"/>
    <w:rsid w:val="00A4122A"/>
    <w:rsid w:val="00A4630B"/>
    <w:rsid w:val="00A51784"/>
    <w:rsid w:val="00A603A3"/>
    <w:rsid w:val="00A84929"/>
    <w:rsid w:val="00A85B36"/>
    <w:rsid w:val="00AA7CB7"/>
    <w:rsid w:val="00AC16E0"/>
    <w:rsid w:val="00AD1ED3"/>
    <w:rsid w:val="00B0722B"/>
    <w:rsid w:val="00B333E8"/>
    <w:rsid w:val="00B3420E"/>
    <w:rsid w:val="00B51417"/>
    <w:rsid w:val="00B6415A"/>
    <w:rsid w:val="00B7474E"/>
    <w:rsid w:val="00B77FD1"/>
    <w:rsid w:val="00B84AE5"/>
    <w:rsid w:val="00BA41FF"/>
    <w:rsid w:val="00BA4895"/>
    <w:rsid w:val="00BA4B4C"/>
    <w:rsid w:val="00BA4FE4"/>
    <w:rsid w:val="00BA5E44"/>
    <w:rsid w:val="00BC7DB5"/>
    <w:rsid w:val="00BE3C89"/>
    <w:rsid w:val="00BE5A2E"/>
    <w:rsid w:val="00BE669B"/>
    <w:rsid w:val="00BF3472"/>
    <w:rsid w:val="00C07B25"/>
    <w:rsid w:val="00C14ECF"/>
    <w:rsid w:val="00C2059F"/>
    <w:rsid w:val="00C40804"/>
    <w:rsid w:val="00C42572"/>
    <w:rsid w:val="00C447E9"/>
    <w:rsid w:val="00C53034"/>
    <w:rsid w:val="00C66232"/>
    <w:rsid w:val="00C7465C"/>
    <w:rsid w:val="00C82F18"/>
    <w:rsid w:val="00C83C5D"/>
    <w:rsid w:val="00CE66CD"/>
    <w:rsid w:val="00CF67C5"/>
    <w:rsid w:val="00D300D4"/>
    <w:rsid w:val="00D416EB"/>
    <w:rsid w:val="00D517F8"/>
    <w:rsid w:val="00D80222"/>
    <w:rsid w:val="00D95772"/>
    <w:rsid w:val="00D97675"/>
    <w:rsid w:val="00DA06CB"/>
    <w:rsid w:val="00DA2BE3"/>
    <w:rsid w:val="00DA4D08"/>
    <w:rsid w:val="00DC3BDE"/>
    <w:rsid w:val="00DF0F03"/>
    <w:rsid w:val="00E13DC8"/>
    <w:rsid w:val="00E14AD9"/>
    <w:rsid w:val="00E3008B"/>
    <w:rsid w:val="00E31A84"/>
    <w:rsid w:val="00E33F4D"/>
    <w:rsid w:val="00E60083"/>
    <w:rsid w:val="00E63A8C"/>
    <w:rsid w:val="00E67C8A"/>
    <w:rsid w:val="00E86140"/>
    <w:rsid w:val="00EB22BD"/>
    <w:rsid w:val="00ED582F"/>
    <w:rsid w:val="00EF0D1C"/>
    <w:rsid w:val="00EF3553"/>
    <w:rsid w:val="00F2428E"/>
    <w:rsid w:val="00F3219C"/>
    <w:rsid w:val="00F41843"/>
    <w:rsid w:val="00F42A6F"/>
    <w:rsid w:val="00F466C6"/>
    <w:rsid w:val="00F51D93"/>
    <w:rsid w:val="00F53195"/>
    <w:rsid w:val="00F85055"/>
    <w:rsid w:val="00FB00C8"/>
    <w:rsid w:val="00FE2BCE"/>
    <w:rsid w:val="00FE6994"/>
    <w:rsid w:val="00FF2D31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1228"/>
    <w:pPr>
      <w:keepNext/>
      <w:keepLines/>
      <w:spacing w:before="480" w:after="0"/>
      <w:ind w:left="567" w:hanging="567"/>
      <w:jc w:val="both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28"/>
    <w:pPr>
      <w:keepNext/>
      <w:keepLines/>
      <w:spacing w:before="200" w:after="0"/>
      <w:ind w:left="567" w:hanging="567"/>
      <w:jc w:val="both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2BE3"/>
    <w:pPr>
      <w:keepNext/>
      <w:keepLines/>
      <w:spacing w:before="200" w:after="0"/>
      <w:ind w:left="709" w:hanging="709"/>
      <w:outlineLvl w:val="2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228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1228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A2BE3"/>
    <w:rPr>
      <w:rFonts w:ascii="Arial" w:eastAsiaTheme="majorEastAsia" w:hAnsi="Arial" w:cs="Arial"/>
      <w:b/>
      <w:bCs/>
      <w:color w:val="4F81BD" w:themeColor="accent1"/>
    </w:rPr>
  </w:style>
  <w:style w:type="paragraph" w:customStyle="1" w:styleId="Default">
    <w:name w:val="Default"/>
    <w:rsid w:val="008C1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9C"/>
  </w:style>
  <w:style w:type="paragraph" w:styleId="Pieddepage">
    <w:name w:val="footer"/>
    <w:basedOn w:val="Normal"/>
    <w:link w:val="PieddepageCar"/>
    <w:uiPriority w:val="99"/>
    <w:unhideWhenUsed/>
    <w:rsid w:val="001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9C"/>
  </w:style>
  <w:style w:type="paragraph" w:styleId="Textedebulles">
    <w:name w:val="Balloon Text"/>
    <w:basedOn w:val="Normal"/>
    <w:link w:val="TextedebullesCar"/>
    <w:uiPriority w:val="99"/>
    <w:semiHidden/>
    <w:unhideWhenUsed/>
    <w:rsid w:val="0015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C7DB5"/>
    <w:pPr>
      <w:jc w:val="left"/>
      <w:outlineLvl w:val="9"/>
    </w:pPr>
    <w:rPr>
      <w:rFonts w:asciiTheme="majorHAnsi" w:hAnsiTheme="majorHAnsi" w:cstheme="majorBid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C7DB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C7DB5"/>
    <w:pPr>
      <w:spacing w:after="100"/>
      <w:ind w:left="220"/>
    </w:pPr>
  </w:style>
  <w:style w:type="character" w:styleId="Lienhypertexte">
    <w:name w:val="Hyperlink"/>
    <w:basedOn w:val="Policepardfaut"/>
    <w:unhideWhenUsed/>
    <w:rsid w:val="00BC7DB5"/>
    <w:rPr>
      <w:color w:val="0000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386D83"/>
    <w:pPr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390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C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C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CF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13DC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2325"/>
    <w:rPr>
      <w:b/>
      <w:bCs/>
    </w:rPr>
  </w:style>
  <w:style w:type="character" w:customStyle="1" w:styleId="A8">
    <w:name w:val="A8"/>
    <w:uiPriority w:val="99"/>
    <w:rsid w:val="000C5F88"/>
    <w:rPr>
      <w:rFonts w:cs="Univers LT Std 45 Light"/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1228"/>
    <w:pPr>
      <w:keepNext/>
      <w:keepLines/>
      <w:spacing w:before="480" w:after="0"/>
      <w:ind w:left="567" w:hanging="567"/>
      <w:jc w:val="both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28"/>
    <w:pPr>
      <w:keepNext/>
      <w:keepLines/>
      <w:spacing w:before="200" w:after="0"/>
      <w:ind w:left="567" w:hanging="567"/>
      <w:jc w:val="both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2BE3"/>
    <w:pPr>
      <w:keepNext/>
      <w:keepLines/>
      <w:spacing w:before="200" w:after="0"/>
      <w:ind w:left="709" w:hanging="709"/>
      <w:outlineLvl w:val="2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228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1228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A2BE3"/>
    <w:rPr>
      <w:rFonts w:ascii="Arial" w:eastAsiaTheme="majorEastAsia" w:hAnsi="Arial" w:cs="Arial"/>
      <w:b/>
      <w:bCs/>
      <w:color w:val="4F81BD" w:themeColor="accent1"/>
    </w:rPr>
  </w:style>
  <w:style w:type="paragraph" w:customStyle="1" w:styleId="Default">
    <w:name w:val="Default"/>
    <w:rsid w:val="008C1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9C"/>
  </w:style>
  <w:style w:type="paragraph" w:styleId="Pieddepage">
    <w:name w:val="footer"/>
    <w:basedOn w:val="Normal"/>
    <w:link w:val="PieddepageCar"/>
    <w:uiPriority w:val="99"/>
    <w:unhideWhenUsed/>
    <w:rsid w:val="001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9C"/>
  </w:style>
  <w:style w:type="paragraph" w:styleId="Textedebulles">
    <w:name w:val="Balloon Text"/>
    <w:basedOn w:val="Normal"/>
    <w:link w:val="TextedebullesCar"/>
    <w:uiPriority w:val="99"/>
    <w:semiHidden/>
    <w:unhideWhenUsed/>
    <w:rsid w:val="0015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C7DB5"/>
    <w:pPr>
      <w:jc w:val="left"/>
      <w:outlineLvl w:val="9"/>
    </w:pPr>
    <w:rPr>
      <w:rFonts w:asciiTheme="majorHAnsi" w:hAnsiTheme="majorHAnsi" w:cstheme="majorBid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C7DB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C7DB5"/>
    <w:pPr>
      <w:spacing w:after="100"/>
      <w:ind w:left="220"/>
    </w:pPr>
  </w:style>
  <w:style w:type="character" w:styleId="Lienhypertexte">
    <w:name w:val="Hyperlink"/>
    <w:basedOn w:val="Policepardfaut"/>
    <w:unhideWhenUsed/>
    <w:rsid w:val="00BC7DB5"/>
    <w:rPr>
      <w:color w:val="0000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386D83"/>
    <w:pPr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390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C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C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CF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13DC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2325"/>
    <w:rPr>
      <w:b/>
      <w:bCs/>
    </w:rPr>
  </w:style>
  <w:style w:type="character" w:customStyle="1" w:styleId="A8">
    <w:name w:val="A8"/>
    <w:uiPriority w:val="99"/>
    <w:rsid w:val="000C5F88"/>
    <w:rPr>
      <w:rFonts w:cs="Univers LT Std 45 Light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://www.ocean-indien.ars.sante.fr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7183-6B06-44F1-B0B3-42656E84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5D3E7BFD</Template>
  <TotalTime>5</TotalTime>
  <Pages>13</Pages>
  <Words>2191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ARSOI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CARITAS, Marie</dc:creator>
  <cp:lastModifiedBy>GIVRAN, Jean-Luc</cp:lastModifiedBy>
  <cp:revision>7</cp:revision>
  <cp:lastPrinted>2017-03-30T05:17:00Z</cp:lastPrinted>
  <dcterms:created xsi:type="dcterms:W3CDTF">2017-03-17T11:12:00Z</dcterms:created>
  <dcterms:modified xsi:type="dcterms:W3CDTF">2017-03-30T05:18:00Z</dcterms:modified>
</cp:coreProperties>
</file>